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2018-11-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29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4113"/>
        <w:gridCol w:w="11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411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10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上海新阳、上海贝岭大幅上涨。士兰微不是上海本地股，等待后期芯片集体大涨的机会，继续左侧交易加仓1000股。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持仓4000股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不动，创投概念行情结束，等待回调做第二波。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吴通控股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3.66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4.10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5G+传媒概念，属于2个热点概念叠加，筹码分布适合操作拉板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持仓3200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润欣科技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9.26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10.66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芯片+5G概念，景气热点，低位筹码集中。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-900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2911-1536542303635"/>
      <w:bookmarkEnd w:id="3"/>
      <w:bookmarkStart w:id="4" w:name="8416-1536542303643"/>
      <w:bookmarkEnd w:id="4"/>
      <w:bookmarkStart w:id="5" w:name="1227-1536542303637"/>
      <w:bookmarkEnd w:id="5"/>
      <w:bookmarkStart w:id="6" w:name="2151-1536542303645"/>
      <w:bookmarkEnd w:id="6"/>
      <w:bookmarkStart w:id="7" w:name="1096-1536542303639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上证：收盘2567.44，-1.32%，成交额1295亿下跌。 尾盘下跌超预期，前期妖股纷纷跌停或者炸板市场情绪低落，今日未操作。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上证50：2401.85，-0.80%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港股：26451.03，-0.87%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6.9393，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GC001：3.445，+13.88%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融资融券余额：7752亿，</w:t>
      </w:r>
      <w:r>
        <w:rPr>
          <w:rFonts w:hint="eastAsia"/>
          <w:color w:val="00B050"/>
          <w:lang w:val="en-US" w:eastAsia="zh-CN"/>
        </w:rPr>
        <w:t>-5.21</w:t>
      </w:r>
      <w:r>
        <w:rPr>
          <w:rFonts w:hint="eastAsia"/>
          <w:lang w:val="en-US" w:eastAsia="zh-CN"/>
        </w:rPr>
        <w:t>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【宏观要闻】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E53333"/>
          <w:spacing w:val="0"/>
          <w:sz w:val="18"/>
          <w:szCs w:val="18"/>
          <w:shd w:val="clear" w:fill="FFFFFF"/>
        </w:rPr>
        <w:t>中共中央、国务院：统筹发达地区和欠发达地区发展 加快补齐基础设施短板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中共中央、国务院发布关于建立更加有效的区域协调发展新机制的意见。意见指出，统筹发达地区和欠发达地区发展，建立健全长效普惠性的扶持机制和精准有效的差别化支持机制，加快补齐基础设施、公共服务、生态环境、产业发展等短板。以“一带一路”建设、京津冀协同发展、长江经济带发展、粤港澳大湾区建设等重大战略为引领，以西部、东北、中部、东部四大板块为基础，促进区域间相互融通补充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E53333"/>
          <w:spacing w:val="0"/>
          <w:sz w:val="18"/>
          <w:szCs w:val="18"/>
          <w:shd w:val="clear" w:fill="FFFFFF"/>
        </w:rPr>
        <w:t>中共中央、国务院关于建立更加有效的区域协调发展新机制的意见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中共中央、国务院发布关于建立更加有效的区域协调发展新机制的意见。到2020年，建立与全面建成小康社会相适应的区域协调发展新机制，在建立区域战略统筹机制、基本公共服务均等化机制、区域政策调控机制、区域发展保障机制等方面取得突破，在完善市场一体化发展机制、深化区域合作机制、优化区域互助机制、健全区际利益补偿机制等方面取得新进展，区域协调发展新机制在有效遏制区域分化、规范区域开发秩序、推动区域一体化发展中发挥积极作用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【资讯快报】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18"/>
          <w:szCs w:val="18"/>
          <w:shd w:val="clear" w:fill="FFFFFF"/>
        </w:rPr>
        <w:t>长三角企业基本已征集到位 筛选后预计在元旦前会公开发布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"http://www.yuncaijing.com/quote/sz000858.html"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五粮液(000858)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"https://www.yuncaijing.com/quote/sz000858_multi.html"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18"/>
          <w:szCs w:val="18"/>
          <w:shd w:val="clear" w:fill="FFFFFF"/>
        </w:rPr>
        <w:t>总经销产品将按度数、规格折算、制定出厂价 多个产品提价超10%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全国首个跨省5G视频通话今在长三角实现互联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外交部回应“美国贸易代表威胁将对中国出口美国的汽车加征关税”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18"/>
          <w:szCs w:val="18"/>
          <w:shd w:val="clear" w:fill="FFFFFF"/>
        </w:rPr>
        <w:t>央行：扩大债券市场开放 中国外汇交易中心与彭博公司合作正式启动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18"/>
          <w:szCs w:val="18"/>
          <w:shd w:val="clear" w:fill="FFFFFF"/>
        </w:rPr>
        <w:t>快讯：习近平乘专机离开西班牙前往阿根廷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18"/>
          <w:szCs w:val="18"/>
          <w:shd w:val="clear" w:fill="FFFFFF"/>
        </w:rPr>
        <w:t>基因峰会发布声明：贺建奎项目存缺陷 不应临床试验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财政部发布提前下达2019年普惠金融发展专项资金预算指标的通知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中国电视剧编剧委员会：今日前往广电总局与国家税务总局相关领导进行会谈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bookmarkStart w:id="14" w:name="_GoBack"/>
      <w:bookmarkEnd w:id="14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【增减持】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"http://www.yuncaijing.com/quote/sh600686.html"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金龙汽车(600686)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"https://www.yuncaijing.com/quote/sh600686_multi.html"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：控股股东拟增持公司不超2%股份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"http://www.yuncaijing.com/quote/sh600704.html"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物产中大(600704)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"https://www.yuncaijing.com/quote/sh600704_multi.html"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：控股股东拟增持不超1%股份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93A4C"/>
          <w:spacing w:val="0"/>
          <w:sz w:val="18"/>
          <w:szCs w:val="18"/>
          <w:shd w:val="clear" w:fill="FFFFFF"/>
        </w:rPr>
        <w:t>金龙汽车(600686)</w:t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：拟增持公司不超2%股份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"http://www.yuncaijing.com/quote/sz002712.html"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思美传媒(002712)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"https://www.yuncaijing.com/quote/sz002712_multi.html"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：回购金额区间上调为2.5亿元至5亿元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"http://www.yuncaijing.com/quote/sz000876.html"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新希望(000876)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"https://www.yuncaijing.com/quote/sz000876_multi.html"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：拟6亿元至12亿元回购股份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"http://www.yuncaijing.com/quote/sz000903.html"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云内动力(000903)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"https://www.yuncaijing.com/quote/sz000903_multi.html"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：拟以1亿至-2亿回购股份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"http://www.yuncaijing.com/quote/sz002617.html"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露笑科技(002617)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"https://www.yuncaijing.com/quote/sz002617_multi.html"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：董事长提议1.5亿元至3亿元回购股份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"http://www.yuncaijing.com/quote/sh600352.html"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浙江龙盛(600352)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"https://www.yuncaijing.com/quote/sh600352_multi.html"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：拟5亿元至10亿元回购股份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"http://www.yuncaijing.com/quote/sz002344.html"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海宁皮城(002344)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"https://www.yuncaijing.com/quote/sz002344_multi.html"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：拟3600万元至6000万元回购股份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"http://www.yuncaijing.com/quote/sz300713.html"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英可瑞(300713)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"https://www.yuncaijing.com/quote/sz300713_multi.html"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：两股东拟合计减持不超4%股份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"http://www.yuncaijing.com/quote/sz300654.html"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世纪天鸿(300654)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"https://www.yuncaijing.com/quote/sz300654_multi.html"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：持股6.1061%的股东拟在6个月内减持不超过1.1069%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【利好公告】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"http://www.yuncaijing.com/quote/sz000998.html"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隆平高科(000998)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"https://www.yuncaijing.com/quote/sz000998_multi.html"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：股东新大新股份拟将5.24%公司股份转让给九三集团中垦投资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"http://www.yuncaijing.com/quote/sh600887.html"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伊利股份(600887)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"https://www.yuncaijing.com/quote/sh600887_multi.html"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：拟收购泰国冰淇淋公司 初始对价8056万美元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"http://www.yuncaijing.com/quote/sh601828.html"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美凯龙(601828)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"https://www.yuncaijing.com/quote/sh601828_multi.html"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：拟设立员工持股计划 员工筹资额上限1.1亿元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"http://www.yuncaijing.com/quote/sz300273.html"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和佳股份(300273)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"https://www.yuncaijing.com/quote/sz300273_multi.html"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：中标4249万元设备采购项目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"http://www.yuncaijing.com/quote/sz002313.html"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日海智能(002313)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"https://www.yuncaijing.com/quote/sz002313_multi.html"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：中标约3.6亿元重庆联通项目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【中性公告】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"http://www.yuncaijing.com/quote/sz002923.html"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润都股份(002923)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"https://www.yuncaijing.com/quote/sz002923_multi.html"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：终止“厄贝沙坦胶囊生产线扩建项目”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"http://www.yuncaijing.com/quote/sz300104.html"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乐视网(300104)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"https://www.yuncaijing.com/quote/sz300104_multi.html"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：贾跃亭持股较6月30日减少4155万股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"http://www.yuncaijing.com/quote/sz000950.html"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t>重药控股(000950)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instrText xml:space="preserve"> HYPERLINK "https://www.yuncaijing.com/quote/sz000950_multi.html"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18"/>
          <w:szCs w:val="18"/>
          <w:shd w:val="clear" w:fill="FFFFFF"/>
        </w:rPr>
        <w:t>：公开挂牌转让参股子公司重庆医药工业研究院43.11%股权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93A4C"/>
          <w:spacing w:val="0"/>
          <w:sz w:val="21"/>
          <w:szCs w:val="21"/>
          <w:lang w:val="en-US" w:eastAsia="zh-CN"/>
        </w:rPr>
        <w:t xml:space="preserve"> 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11-14日关注股票：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乔治白（+10.00%）</w:t>
      </w:r>
      <w:r>
        <w:rPr>
          <w:rFonts w:hint="eastAsia"/>
          <w:strike w:val="0"/>
          <w:dstrike w:val="0"/>
          <w:color w:val="00B050"/>
          <w:lang w:val="en-US" w:eastAsia="zh-CN"/>
        </w:rPr>
        <w:t>，国海证券加仓做T，阳光电源开盘集合竞价买入建仓。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早盘低位减仓，下午大盘下跌被套-1.5%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11-15日关注股票：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光洋股票（+10.0</w:t>
      </w:r>
      <w:r>
        <w:rPr>
          <w:rFonts w:hint="default"/>
          <w:strike/>
          <w:dstrike w:val="0"/>
          <w:color w:val="FF0000"/>
          <w:lang w:val="en-US" w:eastAsia="zh-CN"/>
        </w:rPr>
        <w:t>6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国际实业</w:t>
      </w:r>
      <w:r>
        <w:rPr>
          <w:rFonts w:hint="default"/>
          <w:strike/>
          <w:dstrike w:val="0"/>
          <w:color w:val="00B050"/>
          <w:lang w:val="en-US" w:eastAsia="zh-CN"/>
        </w:rPr>
        <w:t>(-6.26%)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德美化工</w:t>
      </w:r>
      <w:r>
        <w:rPr>
          <w:rFonts w:hint="default"/>
          <w:strike/>
          <w:dstrike w:val="0"/>
          <w:color w:val="FF0000"/>
          <w:lang w:val="en-US" w:eastAsia="zh-CN"/>
        </w:rPr>
        <w:t>(+1.90%)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赫美集团</w:t>
      </w:r>
      <w:r>
        <w:rPr>
          <w:rFonts w:hint="default"/>
          <w:strike/>
          <w:dstrike w:val="0"/>
          <w:color w:val="00B050"/>
          <w:lang w:val="en-US" w:eastAsia="zh-CN"/>
        </w:rPr>
        <w:t>(-6.30%)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康达新材</w:t>
      </w:r>
      <w:r>
        <w:rPr>
          <w:rFonts w:hint="default"/>
          <w:strike/>
          <w:dstrike w:val="0"/>
          <w:color w:val="00B050"/>
          <w:lang w:val="en-US" w:eastAsia="zh-CN"/>
        </w:rPr>
        <w:t>(-0.94%)</w:t>
      </w:r>
      <w:r>
        <w:rPr>
          <w:rFonts w:hint="eastAsia"/>
          <w:strike/>
          <w:dstrike w:val="0"/>
          <w:color w:val="FF0000"/>
          <w:lang w:val="en-US" w:eastAsia="zh-CN"/>
        </w:rPr>
        <w:t>、博天环境</w:t>
      </w:r>
      <w:r>
        <w:rPr>
          <w:rFonts w:hint="default"/>
          <w:strike/>
          <w:dstrike w:val="0"/>
          <w:color w:val="FF0000"/>
          <w:lang w:val="en-US" w:eastAsia="zh-CN"/>
        </w:rPr>
        <w:t>(+8.51%)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西陇科学</w:t>
      </w:r>
      <w:r>
        <w:rPr>
          <w:rFonts w:hint="default"/>
          <w:strike/>
          <w:dstrike w:val="0"/>
          <w:color w:val="00B050"/>
          <w:lang w:val="en-US" w:eastAsia="zh-CN"/>
        </w:rPr>
        <w:t>(</w:t>
      </w:r>
      <w:r>
        <w:rPr>
          <w:rFonts w:hint="eastAsia"/>
          <w:strike/>
          <w:dstrike w:val="0"/>
          <w:color w:val="00B050"/>
          <w:lang w:val="en-US" w:eastAsia="zh-CN"/>
        </w:rPr>
        <w:t>-4.29</w:t>
      </w:r>
      <w:r>
        <w:rPr>
          <w:rFonts w:hint="default"/>
          <w:strike/>
          <w:dstrike w:val="0"/>
          <w:color w:val="00B050"/>
          <w:lang w:val="en-US" w:eastAsia="zh-CN"/>
        </w:rPr>
        <w:t>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11-1</w:t>
      </w:r>
      <w:r>
        <w:rPr>
          <w:rFonts w:hint="eastAsia"/>
          <w:strike w:val="0"/>
          <w:dstrike w:val="0"/>
          <w:color w:val="auto"/>
          <w:lang w:val="en-US" w:eastAsia="zh-CN"/>
        </w:rPr>
        <w:t>6 关注股票：</w:t>
      </w:r>
    </w:p>
    <w:p>
      <w:pPr>
        <w:spacing w:line="240" w:lineRule="auto"/>
        <w:rPr>
          <w:rFonts w:hint="eastAsia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双林股份</w:t>
      </w:r>
      <w:r>
        <w:rPr>
          <w:rFonts w:hint="default"/>
          <w:strike/>
          <w:dstrike w:val="0"/>
          <w:color w:val="00B050"/>
          <w:lang w:val="en-US" w:eastAsia="zh-CN"/>
        </w:rPr>
        <w:t>(</w:t>
      </w:r>
      <w:r>
        <w:rPr>
          <w:rFonts w:hint="eastAsia"/>
          <w:strike/>
          <w:dstrike w:val="0"/>
          <w:color w:val="00B050"/>
          <w:lang w:val="en-US" w:eastAsia="zh-CN"/>
        </w:rPr>
        <w:t>-1.63</w:t>
      </w:r>
      <w:r>
        <w:rPr>
          <w:rFonts w:hint="default"/>
          <w:strike/>
          <w:dstrike w:val="0"/>
          <w:color w:val="00B05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（独角兽）、佳都科技</w:t>
      </w:r>
      <w:r>
        <w:rPr>
          <w:rFonts w:hint="default"/>
          <w:strike/>
          <w:dstrike w:val="0"/>
          <w:color w:val="FF0000"/>
          <w:lang w:val="en-US" w:eastAsia="zh-CN"/>
        </w:rPr>
        <w:t>(+</w:t>
      </w:r>
      <w:r>
        <w:rPr>
          <w:rFonts w:hint="eastAsia"/>
          <w:strike/>
          <w:dstrike w:val="0"/>
          <w:color w:val="FF0000"/>
          <w:lang w:val="en-US" w:eastAsia="zh-CN"/>
        </w:rPr>
        <w:t>1.72</w:t>
      </w:r>
      <w:r>
        <w:rPr>
          <w:rFonts w:hint="default"/>
          <w:strike/>
          <w:dstrike w:val="0"/>
          <w:color w:val="FF000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（独角兽+人工智能）、天华超净</w:t>
      </w:r>
      <w:r>
        <w:rPr>
          <w:rFonts w:hint="default"/>
          <w:strike/>
          <w:dstrike w:val="0"/>
          <w:color w:val="FF0000"/>
          <w:lang w:val="en-US" w:eastAsia="zh-CN"/>
        </w:rPr>
        <w:t>(</w:t>
      </w:r>
      <w:r>
        <w:rPr>
          <w:rFonts w:hint="eastAsia"/>
          <w:strike/>
          <w:dstrike w:val="0"/>
          <w:color w:val="FF0000"/>
          <w:lang w:val="en-US" w:eastAsia="zh-CN"/>
        </w:rPr>
        <w:t>-2.90</w:t>
      </w:r>
      <w:r>
        <w:rPr>
          <w:rFonts w:hint="default"/>
          <w:strike/>
          <w:dstrike w:val="0"/>
          <w:color w:val="FF000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（独角兽）、</w:t>
      </w:r>
      <w:r>
        <w:rPr>
          <w:rFonts w:hint="eastAsia"/>
          <w:strike/>
          <w:dstrike w:val="0"/>
          <w:color w:val="00B050"/>
          <w:lang w:val="en-US" w:eastAsia="zh-CN"/>
        </w:rPr>
        <w:t>麦达数字</w:t>
      </w:r>
      <w:r>
        <w:rPr>
          <w:rFonts w:hint="default"/>
          <w:strike/>
          <w:dstrike w:val="0"/>
          <w:color w:val="00B050"/>
          <w:lang w:val="en-US" w:eastAsia="zh-CN"/>
        </w:rPr>
        <w:t>(-0.81%)</w:t>
      </w:r>
      <w:r>
        <w:rPr>
          <w:rFonts w:hint="eastAsia"/>
          <w:strike/>
          <w:dstrike w:val="0"/>
          <w:color w:val="00B050"/>
          <w:lang w:val="en-US" w:eastAsia="zh-CN"/>
        </w:rPr>
        <w:t>（独角兽）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鲁信创投</w:t>
      </w:r>
      <w:r>
        <w:rPr>
          <w:rFonts w:hint="default"/>
          <w:strike/>
          <w:dstrike w:val="0"/>
          <w:color w:val="FF0000"/>
          <w:lang w:val="en-US" w:eastAsia="zh-CN"/>
        </w:rPr>
        <w:t>(+9.99%)</w:t>
      </w:r>
      <w:r>
        <w:rPr>
          <w:rFonts w:hint="eastAsia"/>
          <w:strike/>
          <w:dstrike w:val="0"/>
          <w:color w:val="FF0000"/>
          <w:lang w:val="en-US" w:eastAsia="zh-CN"/>
        </w:rPr>
        <w:t>（创投）、九鼎投资</w:t>
      </w:r>
      <w:r>
        <w:rPr>
          <w:rFonts w:hint="default"/>
          <w:strike/>
          <w:dstrike w:val="0"/>
          <w:color w:val="FF0000"/>
          <w:lang w:val="en-US" w:eastAsia="zh-CN"/>
        </w:rPr>
        <w:t>(+10.01%)</w:t>
      </w:r>
      <w:r>
        <w:rPr>
          <w:rFonts w:hint="eastAsia"/>
          <w:strike/>
          <w:dstrike w:val="0"/>
          <w:color w:val="FF0000"/>
          <w:lang w:val="en-US" w:eastAsia="zh-CN"/>
        </w:rPr>
        <w:t>（创投）、西安旅游</w:t>
      </w:r>
      <w:r>
        <w:rPr>
          <w:rFonts w:hint="default"/>
          <w:strike/>
          <w:dstrike w:val="0"/>
          <w:color w:val="FF0000"/>
          <w:lang w:val="en-US" w:eastAsia="zh-CN"/>
        </w:rPr>
        <w:t>(+9.95%)</w:t>
      </w:r>
      <w:r>
        <w:rPr>
          <w:rFonts w:hint="eastAsia"/>
          <w:strike/>
          <w:dstrike w:val="0"/>
          <w:color w:val="FF0000"/>
          <w:lang w:val="en-US" w:eastAsia="zh-CN"/>
        </w:rPr>
        <w:t>（创投）、张江高科</w:t>
      </w:r>
      <w:r>
        <w:rPr>
          <w:rFonts w:hint="default"/>
          <w:strike/>
          <w:dstrike w:val="0"/>
          <w:color w:val="FF0000"/>
          <w:lang w:val="en-US" w:eastAsia="zh-CN"/>
        </w:rPr>
        <w:t>(+9.99%)</w:t>
      </w:r>
      <w:r>
        <w:rPr>
          <w:rFonts w:hint="eastAsia"/>
          <w:strike/>
          <w:dstrike w:val="0"/>
          <w:color w:val="FF0000"/>
          <w:lang w:val="en-US" w:eastAsia="zh-CN"/>
        </w:rPr>
        <w:t>（创投）、佳隆股份</w:t>
      </w:r>
      <w:r>
        <w:rPr>
          <w:rFonts w:hint="default"/>
          <w:strike/>
          <w:dstrike w:val="0"/>
          <w:color w:val="FF0000"/>
          <w:lang w:val="en-US" w:eastAsia="zh-CN"/>
        </w:rPr>
        <w:t>(+8.31%)</w:t>
      </w:r>
      <w:r>
        <w:rPr>
          <w:rFonts w:hint="eastAsia"/>
          <w:strike/>
          <w:dstrike w:val="0"/>
          <w:color w:val="FF0000"/>
          <w:lang w:val="en-US" w:eastAsia="zh-CN"/>
        </w:rPr>
        <w:t>（创投）、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万家乐</w:t>
      </w:r>
      <w:r>
        <w:rPr>
          <w:rFonts w:hint="default"/>
          <w:strike/>
          <w:dstrike w:val="0"/>
          <w:color w:val="00B050"/>
          <w:lang w:val="en-US" w:eastAsia="zh-CN"/>
        </w:rPr>
        <w:t>(-10.00%)</w:t>
      </w:r>
      <w:r>
        <w:rPr>
          <w:rFonts w:hint="eastAsia"/>
          <w:strike/>
          <w:dstrike w:val="0"/>
          <w:color w:val="00B050"/>
          <w:lang w:val="en-US" w:eastAsia="zh-CN"/>
        </w:rPr>
        <w:t>（壳资源）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金财互联</w:t>
      </w:r>
      <w:r>
        <w:rPr>
          <w:rFonts w:hint="default"/>
          <w:strike/>
          <w:dstrike w:val="0"/>
          <w:color w:val="00B050"/>
          <w:lang w:val="en-US" w:eastAsia="zh-CN"/>
        </w:rPr>
        <w:t>(-0.43)</w:t>
      </w:r>
      <w:r>
        <w:rPr>
          <w:rFonts w:hint="eastAsia"/>
          <w:strike/>
          <w:dstrike w:val="0"/>
          <w:color w:val="00B050"/>
          <w:lang w:val="en-US" w:eastAsia="zh-CN"/>
        </w:rPr>
        <w:t>（区块链+筹码）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宣亚国际</w:t>
      </w:r>
      <w:r>
        <w:rPr>
          <w:rFonts w:hint="default"/>
          <w:strike/>
          <w:dstrike w:val="0"/>
          <w:color w:val="FF0000"/>
          <w:lang w:val="en-US" w:eastAsia="zh-CN"/>
        </w:rPr>
        <w:t>(+2.71%)</w:t>
      </w:r>
      <w:r>
        <w:rPr>
          <w:rFonts w:hint="eastAsia"/>
          <w:strike/>
          <w:dstrike w:val="0"/>
          <w:color w:val="auto"/>
          <w:lang w:val="en-US" w:eastAsia="zh-CN"/>
        </w:rPr>
        <w:t>（超跌+前期妖股）、</w:t>
      </w:r>
    </w:p>
    <w:p>
      <w:pPr>
        <w:spacing w:line="240" w:lineRule="auto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上海自贸区</w:t>
      </w:r>
      <w:r>
        <w:rPr>
          <w:rFonts w:hint="default"/>
          <w:strike/>
          <w:dstrike w:val="0"/>
          <w:color w:val="FF0000"/>
          <w:lang w:val="en-US" w:eastAsia="zh-CN"/>
        </w:rPr>
        <w:t>:</w:t>
      </w:r>
      <w:r>
        <w:rPr>
          <w:rFonts w:hint="eastAsia"/>
          <w:strike/>
          <w:dstrike w:val="0"/>
          <w:color w:val="FF0000"/>
          <w:lang w:val="en-US" w:eastAsia="zh-CN"/>
        </w:rPr>
        <w:t>华贸物流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(+4.55%) </w:t>
      </w:r>
      <w:r>
        <w:rPr>
          <w:rFonts w:hint="eastAsia"/>
          <w:strike/>
          <w:dstrike w:val="0"/>
          <w:color w:val="FF0000"/>
          <w:lang w:val="en-US" w:eastAsia="zh-CN"/>
        </w:rPr>
        <w:t>、长江投资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(+10.01%) </w:t>
      </w:r>
      <w:r>
        <w:rPr>
          <w:rFonts w:hint="eastAsia"/>
          <w:strike/>
          <w:dstrike w:val="0"/>
          <w:color w:val="FF0000"/>
          <w:lang w:val="en-US" w:eastAsia="zh-CN"/>
        </w:rPr>
        <w:t>，上海物贸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 (+4.55%)</w:t>
      </w:r>
    </w:p>
    <w:p>
      <w:pPr>
        <w:spacing w:line="240" w:lineRule="auto"/>
        <w:rPr>
          <w:rFonts w:hint="default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11-19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海南海药、兴民智通、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11-20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博天环境、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11-21日关注股票：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等下跌到618之后再做操作：市北高新（</w:t>
      </w:r>
      <w:r>
        <w:rPr>
          <w:rFonts w:hint="default"/>
          <w:strike w:val="0"/>
          <w:dstrike w:val="0"/>
          <w:color w:val="00B050"/>
          <w:lang w:val="en-US" w:eastAsia="zh-CN"/>
        </w:rPr>
        <w:t>-10.04</w:t>
      </w:r>
      <w:r>
        <w:rPr>
          <w:rFonts w:hint="eastAsia"/>
          <w:strike w:val="0"/>
          <w:dstrike w:val="0"/>
          <w:color w:val="00B050"/>
          <w:lang w:val="en-US" w:eastAsia="zh-CN"/>
        </w:rPr>
        <w:t>%）、光洋股份（</w:t>
      </w:r>
      <w:r>
        <w:rPr>
          <w:rFonts w:hint="default"/>
          <w:strike w:val="0"/>
          <w:dstrike w:val="0"/>
          <w:color w:val="00B050"/>
          <w:lang w:val="en-US" w:eastAsia="zh-CN"/>
        </w:rPr>
        <w:t>-9.97</w:t>
      </w:r>
      <w:r>
        <w:rPr>
          <w:rFonts w:hint="eastAsia"/>
          <w:strike w:val="0"/>
          <w:dstrike w:val="0"/>
          <w:color w:val="00B050"/>
          <w:lang w:val="en-US" w:eastAsia="zh-CN"/>
        </w:rPr>
        <w:t>%）、鲁信创投（-</w:t>
      </w:r>
      <w:r>
        <w:rPr>
          <w:rFonts w:hint="default"/>
          <w:strike w:val="0"/>
          <w:dstrike w:val="0"/>
          <w:color w:val="00B050"/>
          <w:lang w:val="en-US" w:eastAsia="zh-CN"/>
        </w:rPr>
        <w:t>9.98</w:t>
      </w:r>
      <w:r>
        <w:rPr>
          <w:rFonts w:hint="eastAsia"/>
          <w:strike w:val="0"/>
          <w:dstrike w:val="0"/>
          <w:color w:val="00B050"/>
          <w:lang w:val="en-US" w:eastAsia="zh-CN"/>
        </w:rPr>
        <w:t>%）、恒立实业（-</w:t>
      </w:r>
      <w:r>
        <w:rPr>
          <w:rFonts w:hint="default"/>
          <w:strike w:val="0"/>
          <w:dstrike w:val="0"/>
          <w:color w:val="00B050"/>
          <w:lang w:val="en-US" w:eastAsia="zh-CN"/>
        </w:rPr>
        <w:t>2.67</w:t>
      </w:r>
      <w:r>
        <w:rPr>
          <w:rFonts w:hint="eastAsia"/>
          <w:strike w:val="0"/>
          <w:dstrike w:val="0"/>
          <w:color w:val="00B050"/>
          <w:lang w:val="en-US" w:eastAsia="zh-CN"/>
        </w:rPr>
        <w:t>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11-22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无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11-23日关注股票：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新和成、ST冠福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11-2</w:t>
      </w:r>
      <w:r>
        <w:rPr>
          <w:rFonts w:hint="default"/>
          <w:strike/>
          <w:dstrike w:val="0"/>
          <w:color w:val="FF0000"/>
          <w:lang w:val="en-US" w:eastAsia="zh-CN"/>
        </w:rPr>
        <w:t>6</w:t>
      </w:r>
      <w:r>
        <w:rPr>
          <w:rFonts w:hint="eastAsia"/>
          <w:strike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新和成、ST冠福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11-2</w:t>
      </w:r>
      <w:r>
        <w:rPr>
          <w:rFonts w:hint="default"/>
          <w:strike/>
          <w:dstrike w:val="0"/>
          <w:color w:val="FF0000"/>
          <w:lang w:val="en-US" w:eastAsia="zh-CN"/>
        </w:rPr>
        <w:t>7</w:t>
      </w:r>
      <w:r>
        <w:rPr>
          <w:rFonts w:hint="eastAsia"/>
          <w:strike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新和成、ST冠福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11-28日关注股票：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润欣科技、万业企业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11月29日关注股票：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吴通控股、润欣科技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4D4197"/>
    <w:rsid w:val="0052221C"/>
    <w:rsid w:val="005863AF"/>
    <w:rsid w:val="006764BA"/>
    <w:rsid w:val="00697FC3"/>
    <w:rsid w:val="00703C1E"/>
    <w:rsid w:val="00901FB1"/>
    <w:rsid w:val="00A5753D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8E3018"/>
    <w:rsid w:val="01977FEF"/>
    <w:rsid w:val="01A5702C"/>
    <w:rsid w:val="0202356D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CE0549"/>
    <w:rsid w:val="04EE70BE"/>
    <w:rsid w:val="04F111E6"/>
    <w:rsid w:val="04F5092B"/>
    <w:rsid w:val="04FE22FC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15502"/>
    <w:rsid w:val="06944398"/>
    <w:rsid w:val="06B03E2C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F4434"/>
    <w:rsid w:val="0B6118DE"/>
    <w:rsid w:val="0B6B0302"/>
    <w:rsid w:val="0B75475E"/>
    <w:rsid w:val="0BA85F8D"/>
    <w:rsid w:val="0BE02464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D53AA"/>
    <w:rsid w:val="10C528E9"/>
    <w:rsid w:val="10E045BB"/>
    <w:rsid w:val="10F71086"/>
    <w:rsid w:val="10FF109F"/>
    <w:rsid w:val="110D2812"/>
    <w:rsid w:val="110F72C1"/>
    <w:rsid w:val="11253F0D"/>
    <w:rsid w:val="112B250E"/>
    <w:rsid w:val="1132557E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1EC5575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712FB7"/>
    <w:rsid w:val="14736B0B"/>
    <w:rsid w:val="14816B5F"/>
    <w:rsid w:val="14AA0805"/>
    <w:rsid w:val="14B72178"/>
    <w:rsid w:val="14C0137C"/>
    <w:rsid w:val="14E20D44"/>
    <w:rsid w:val="14EA5225"/>
    <w:rsid w:val="15120F09"/>
    <w:rsid w:val="15270E26"/>
    <w:rsid w:val="152869AA"/>
    <w:rsid w:val="15325154"/>
    <w:rsid w:val="1548447D"/>
    <w:rsid w:val="157113EA"/>
    <w:rsid w:val="157C53E9"/>
    <w:rsid w:val="157F1CD1"/>
    <w:rsid w:val="15993577"/>
    <w:rsid w:val="159F78B9"/>
    <w:rsid w:val="15A0313A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22F0"/>
    <w:rsid w:val="192478B7"/>
    <w:rsid w:val="192D31EB"/>
    <w:rsid w:val="19467740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815BD3"/>
    <w:rsid w:val="1A8B02F0"/>
    <w:rsid w:val="1A950125"/>
    <w:rsid w:val="1AA33CC8"/>
    <w:rsid w:val="1ABA7984"/>
    <w:rsid w:val="1AC9098F"/>
    <w:rsid w:val="1ACB3375"/>
    <w:rsid w:val="1AD9601A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68FE"/>
    <w:rsid w:val="1C670988"/>
    <w:rsid w:val="1C6F6DE4"/>
    <w:rsid w:val="1C7F5574"/>
    <w:rsid w:val="1C825F0A"/>
    <w:rsid w:val="1C857410"/>
    <w:rsid w:val="1CA519D5"/>
    <w:rsid w:val="1CB0205B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E763D"/>
    <w:rsid w:val="1E040E8C"/>
    <w:rsid w:val="1E066BFD"/>
    <w:rsid w:val="1E3D16BE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BD2E76"/>
    <w:rsid w:val="22C275B8"/>
    <w:rsid w:val="22C9023E"/>
    <w:rsid w:val="22D05A47"/>
    <w:rsid w:val="22D26EAF"/>
    <w:rsid w:val="22E73534"/>
    <w:rsid w:val="22EB6D0C"/>
    <w:rsid w:val="22FA5502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C920C1"/>
    <w:rsid w:val="23D55828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36EAA"/>
    <w:rsid w:val="284E2E6C"/>
    <w:rsid w:val="285B3B30"/>
    <w:rsid w:val="28943264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F03BAC"/>
    <w:rsid w:val="32F16CC0"/>
    <w:rsid w:val="32F77BC9"/>
    <w:rsid w:val="330B75BD"/>
    <w:rsid w:val="330E7FBB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A002FA"/>
    <w:rsid w:val="37BD4353"/>
    <w:rsid w:val="37CB5679"/>
    <w:rsid w:val="37D65746"/>
    <w:rsid w:val="37DC4300"/>
    <w:rsid w:val="37ED3EEE"/>
    <w:rsid w:val="38107C75"/>
    <w:rsid w:val="381B4EB9"/>
    <w:rsid w:val="382E3032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B4085"/>
    <w:rsid w:val="3A8527BD"/>
    <w:rsid w:val="3AA54A51"/>
    <w:rsid w:val="3AA9696E"/>
    <w:rsid w:val="3AAA30E3"/>
    <w:rsid w:val="3AAB5DB7"/>
    <w:rsid w:val="3AF87CF3"/>
    <w:rsid w:val="3B021BE7"/>
    <w:rsid w:val="3B0E4A2A"/>
    <w:rsid w:val="3B107CAF"/>
    <w:rsid w:val="3B1C1E27"/>
    <w:rsid w:val="3B4A3954"/>
    <w:rsid w:val="3B5318A0"/>
    <w:rsid w:val="3B6B5381"/>
    <w:rsid w:val="3B7742CD"/>
    <w:rsid w:val="3B892F14"/>
    <w:rsid w:val="3B9004B9"/>
    <w:rsid w:val="3B9451DA"/>
    <w:rsid w:val="3B9E1812"/>
    <w:rsid w:val="3BAF248D"/>
    <w:rsid w:val="3BAF3FE1"/>
    <w:rsid w:val="3BB57FF7"/>
    <w:rsid w:val="3BD60016"/>
    <w:rsid w:val="3BD834C3"/>
    <w:rsid w:val="3BF40B5B"/>
    <w:rsid w:val="3BF674FE"/>
    <w:rsid w:val="3C106886"/>
    <w:rsid w:val="3C2E2F2A"/>
    <w:rsid w:val="3C2F0DC1"/>
    <w:rsid w:val="3C3347D1"/>
    <w:rsid w:val="3C411F3D"/>
    <w:rsid w:val="3C4133ED"/>
    <w:rsid w:val="3C461A3C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21FD8"/>
    <w:rsid w:val="3D5B6FD8"/>
    <w:rsid w:val="3D6B50CD"/>
    <w:rsid w:val="3D6C7970"/>
    <w:rsid w:val="3D77588E"/>
    <w:rsid w:val="3D8524B9"/>
    <w:rsid w:val="3DC67841"/>
    <w:rsid w:val="3DCC6E48"/>
    <w:rsid w:val="3DF67E21"/>
    <w:rsid w:val="3E1302F2"/>
    <w:rsid w:val="3E341AE6"/>
    <w:rsid w:val="3E350DE2"/>
    <w:rsid w:val="3E51379D"/>
    <w:rsid w:val="3E721BE4"/>
    <w:rsid w:val="3E795D46"/>
    <w:rsid w:val="3EBD4C84"/>
    <w:rsid w:val="3EBD5746"/>
    <w:rsid w:val="3EC40A9D"/>
    <w:rsid w:val="3ECD0A86"/>
    <w:rsid w:val="3EED63A2"/>
    <w:rsid w:val="3F126C25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863BFD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CE7AC9"/>
    <w:rsid w:val="45D05C04"/>
    <w:rsid w:val="45F21DD2"/>
    <w:rsid w:val="463F3DC8"/>
    <w:rsid w:val="4676486A"/>
    <w:rsid w:val="46792153"/>
    <w:rsid w:val="467A3876"/>
    <w:rsid w:val="46882F36"/>
    <w:rsid w:val="469064ED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03F11"/>
    <w:rsid w:val="48651EF8"/>
    <w:rsid w:val="486561CC"/>
    <w:rsid w:val="487333F6"/>
    <w:rsid w:val="48774DFE"/>
    <w:rsid w:val="487F0CDD"/>
    <w:rsid w:val="489A1C79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F3144"/>
    <w:rsid w:val="4DBE19C2"/>
    <w:rsid w:val="4DC44364"/>
    <w:rsid w:val="4DFC2D0A"/>
    <w:rsid w:val="4E001CC7"/>
    <w:rsid w:val="4E033A95"/>
    <w:rsid w:val="4E054997"/>
    <w:rsid w:val="4E233150"/>
    <w:rsid w:val="4E545DE4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940E2"/>
    <w:rsid w:val="538C0DB6"/>
    <w:rsid w:val="53A718BB"/>
    <w:rsid w:val="53A87981"/>
    <w:rsid w:val="53C631AC"/>
    <w:rsid w:val="53D109CC"/>
    <w:rsid w:val="53D24CDD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3952B5"/>
    <w:rsid w:val="56485B8F"/>
    <w:rsid w:val="564B4A19"/>
    <w:rsid w:val="56636141"/>
    <w:rsid w:val="56AD2F65"/>
    <w:rsid w:val="56BE5DE9"/>
    <w:rsid w:val="56DA29F0"/>
    <w:rsid w:val="56E04480"/>
    <w:rsid w:val="571A2248"/>
    <w:rsid w:val="5726114F"/>
    <w:rsid w:val="572C469C"/>
    <w:rsid w:val="572E1DC4"/>
    <w:rsid w:val="572E263C"/>
    <w:rsid w:val="573238AB"/>
    <w:rsid w:val="573A21E0"/>
    <w:rsid w:val="57550297"/>
    <w:rsid w:val="57556125"/>
    <w:rsid w:val="57751DA1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C3802"/>
    <w:rsid w:val="5B901EF3"/>
    <w:rsid w:val="5BA454AF"/>
    <w:rsid w:val="5BA74D2C"/>
    <w:rsid w:val="5BAE32E0"/>
    <w:rsid w:val="5BD0210D"/>
    <w:rsid w:val="5BDF238A"/>
    <w:rsid w:val="5C256739"/>
    <w:rsid w:val="5C2C016F"/>
    <w:rsid w:val="5C384E29"/>
    <w:rsid w:val="5C3B42D6"/>
    <w:rsid w:val="5C3E3754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FB6652"/>
    <w:rsid w:val="5F036FC3"/>
    <w:rsid w:val="5F113FE6"/>
    <w:rsid w:val="5F1F04B3"/>
    <w:rsid w:val="5F2C26E2"/>
    <w:rsid w:val="5F54205E"/>
    <w:rsid w:val="5F5778EA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12AEE"/>
    <w:rsid w:val="61583BA9"/>
    <w:rsid w:val="617C2CAD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7C41D5"/>
    <w:rsid w:val="64966C73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BA7C51"/>
    <w:rsid w:val="65BF3B3D"/>
    <w:rsid w:val="65E21C88"/>
    <w:rsid w:val="660C056F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2A14EE"/>
    <w:rsid w:val="672A527A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73E23"/>
    <w:rsid w:val="683C36CD"/>
    <w:rsid w:val="68444A1C"/>
    <w:rsid w:val="686C1BB7"/>
    <w:rsid w:val="68717FC0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BB58FB"/>
    <w:rsid w:val="69BE75D3"/>
    <w:rsid w:val="69D03A62"/>
    <w:rsid w:val="69DA65EA"/>
    <w:rsid w:val="69E61A81"/>
    <w:rsid w:val="69EF6A80"/>
    <w:rsid w:val="6A0B4A62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5F20FB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0567D"/>
    <w:rsid w:val="6DD652A5"/>
    <w:rsid w:val="6DDA18E4"/>
    <w:rsid w:val="6DE31FA4"/>
    <w:rsid w:val="6DEF27A5"/>
    <w:rsid w:val="6DF1004A"/>
    <w:rsid w:val="6DF76419"/>
    <w:rsid w:val="6E1207D0"/>
    <w:rsid w:val="6E194437"/>
    <w:rsid w:val="6E2E21AD"/>
    <w:rsid w:val="6E5B527C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326984"/>
    <w:rsid w:val="713B6F9B"/>
    <w:rsid w:val="717934D4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C7EF7"/>
    <w:rsid w:val="72F05E81"/>
    <w:rsid w:val="72FE1849"/>
    <w:rsid w:val="73150265"/>
    <w:rsid w:val="731B7C39"/>
    <w:rsid w:val="73294CA9"/>
    <w:rsid w:val="732E12B1"/>
    <w:rsid w:val="733D0A3C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6001D27"/>
    <w:rsid w:val="76077600"/>
    <w:rsid w:val="76085DC1"/>
    <w:rsid w:val="76235FDA"/>
    <w:rsid w:val="76244941"/>
    <w:rsid w:val="76270C98"/>
    <w:rsid w:val="762868A6"/>
    <w:rsid w:val="762E07D6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912DA9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40DE8"/>
    <w:rsid w:val="77B6655A"/>
    <w:rsid w:val="77D2431F"/>
    <w:rsid w:val="77DB0217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F43F8"/>
    <w:rsid w:val="7AF367E9"/>
    <w:rsid w:val="7AF83FFF"/>
    <w:rsid w:val="7B151CB1"/>
    <w:rsid w:val="7B343384"/>
    <w:rsid w:val="7B452A87"/>
    <w:rsid w:val="7B557A15"/>
    <w:rsid w:val="7B5D050D"/>
    <w:rsid w:val="7B784687"/>
    <w:rsid w:val="7BA13BF2"/>
    <w:rsid w:val="7BBE34CB"/>
    <w:rsid w:val="7BFC0376"/>
    <w:rsid w:val="7C0773BC"/>
    <w:rsid w:val="7C0943F2"/>
    <w:rsid w:val="7C1823A4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8173E7"/>
    <w:rsid w:val="7D8247B4"/>
    <w:rsid w:val="7D8E5DA9"/>
    <w:rsid w:val="7D980DF8"/>
    <w:rsid w:val="7D9C6FEC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B87716"/>
    <w:rsid w:val="7ECF3FD1"/>
    <w:rsid w:val="7ED1289E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2018-11-29T15:23:10Z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