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-18</w:t>
      </w:r>
      <w:bookmarkStart w:id="14" w:name="_GoBack"/>
      <w:bookmarkEnd w:id="14"/>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形态越走越弱势，跌破下降趋势线，还要创新低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翻倍加仓之后，亏损缩减到-5.99%，逢反弹即可自救出局。</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持仓不动</w:t>
            </w:r>
            <w:r>
              <w:rPr>
                <w:rFonts w:hint="default" w:asciiTheme="minorEastAsia" w:hAnsiTheme="minorEastAsia" w:cstheme="minorEastAsia"/>
                <w:color w:val="auto"/>
                <w:sz w:val="21"/>
                <w:szCs w:val="21"/>
                <w:lang w:val="en-US" w:eastAsia="zh-CN"/>
              </w:rPr>
              <w:t>,</w:t>
            </w:r>
            <w:r>
              <w:rPr>
                <w:rFonts w:hint="eastAsia" w:asciiTheme="minorEastAsia" w:hAnsiTheme="minorEastAsia" w:cstheme="minorEastAsia"/>
                <w:color w:val="auto"/>
                <w:sz w:val="21"/>
                <w:szCs w:val="21"/>
                <w:lang w:val="en-US" w:eastAsia="zh-CN"/>
              </w:rPr>
              <w:t>跟随大盘反弹。</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8416-1536542303643"/>
      <w:bookmarkEnd w:id="2"/>
      <w:bookmarkStart w:id="3" w:name="2911-1536542303635"/>
      <w:bookmarkEnd w:id="3"/>
      <w:bookmarkStart w:id="4" w:name="1096-1536542303639"/>
      <w:bookmarkEnd w:id="4"/>
      <w:bookmarkStart w:id="5" w:name="1227-1536542303637"/>
      <w:bookmarkEnd w:id="5"/>
      <w:bookmarkStart w:id="6" w:name="3677-1536542303641"/>
      <w:bookmarkEnd w:id="6"/>
      <w:bookmarkStart w:id="7" w:name="2151-153654230364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spacing w:line="240" w:lineRule="auto"/>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上证收盘2791.77，-0.54%，成交量萎缩：993.1亿。</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lang w:val="en-US" w:eastAsia="zh-CN"/>
        </w:rPr>
      </w:pPr>
      <w:r>
        <w:rPr>
          <w:rFonts w:hint="eastAsia"/>
          <w:lang w:val="en-US" w:eastAsia="zh-CN"/>
        </w:rPr>
        <w:t>昨晚美股暴跌A股低开属于正常现象，然后V型走势但是尾盘最后杀跌下来。持仓个股涨跌</w:t>
      </w:r>
      <w:r>
        <w:rPr>
          <w:rFonts w:hint="default"/>
          <w:lang w:val="en-US" w:eastAsia="zh-CN"/>
        </w:rPr>
        <w:t>-+</w:t>
      </w:r>
      <w:r>
        <w:rPr>
          <w:rFonts w:hint="eastAsia"/>
          <w:lang w:val="en-US" w:eastAsia="zh-CN"/>
        </w:rPr>
        <w:t>1%以内，无表现观望为主。今天涨停家数较上一交易日有所减少，两市25家涨停，跌停3家。成交量方面，沪市成交993亿元，深市成交1307亿元，两市总成交额约为2300元，较上一交易日缩量83亿元。盘面上，西安自贸区、黄金、军工等板块涨幅居前，雄安、自由贸易港、水泥等板块跌幅居前。</w:t>
      </w:r>
    </w:p>
    <w:p>
      <w:pPr>
        <w:spacing w:line="240" w:lineRule="auto"/>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【宏观要闻】</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深交所：深化创业板改革</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今年是改革开放40周年。深交所表示，将坚定不移地深化改革、扩大开放，坚持市场化、法治化、国际化方向，一是深化创业板改革，促进各板块协同发展，大幅提升对新经济企业的包容性，奋力建设国际领先的创新资本形成中心；二是完善产品体系，丰富风险管理工具，协力服务区域经济走在全国最前列；三是推进高水平对外开放，创新互联互通机制，全力建设世界一流交易所，努力在更高层次、更大范围服务国家发展战略全局。</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证监会：严厉打击跨境违法违规行为 维护两地资本市场健康稳定发展</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国证监会和香港证监会举行第七次两地执法合作工作会议，下一步，中国证监会将坚决按照党中央、国务院关于深化资本市场改革开放的决策部署，与香港证监会密切协同，根据双方共同参加的国际证监会组织多边备忘录和股票市场互联互通机制下的双边备忘录的要求，不断推进跨境执法合作机制高效运行，严厉打击跨境违法违规行为，维护两地资本市场健康稳定发展。</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【资讯快报】</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中证协：28家券商已出资417亿元成立支持民营企业发展资管计划</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郑商所：19日结算时起将苹果期货合约交易保证金标准调整为8%</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华为宣布已获25份5G商业合同 营收将突破1000亿美元</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三部委：开展打击私屠滥宰防控非洲猪瘟 保证生猪产品质量安全专项治理行动</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证监会：3家公司首发上会 2家过会1家被否</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韬蕴资本：贾跃亭躲在豪宅大门紧闭 拒绝接受任何法律文书</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统计局：广东省工信部门正进行整改 适时对外发布PMI等数据</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上周新增投资者数21.21万，前值为22.28万，环比减少4.8%</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上海银保监局创新机制 落地创新试点项目39项</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发改委：今年1-11月民间投资继续保持较快增长</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11月29日关注股票：</w:t>
      </w:r>
    </w:p>
    <w:p>
      <w:pPr>
        <w:spacing w:line="240" w:lineRule="auto"/>
        <w:rPr>
          <w:rFonts w:hint="eastAsia"/>
          <w:strike w:val="0"/>
          <w:dstrike w:val="0"/>
          <w:color w:val="auto"/>
          <w:lang w:val="en-US" w:eastAsia="zh-CN"/>
        </w:rPr>
      </w:pPr>
      <w:r>
        <w:rPr>
          <w:rFonts w:hint="eastAsia"/>
          <w:strike w:val="0"/>
          <w:dstrike w:val="0"/>
          <w:color w:val="FF0000"/>
          <w:lang w:val="en-US" w:eastAsia="zh-CN"/>
        </w:rPr>
        <w:t>吴通控股</w:t>
      </w:r>
      <w:r>
        <w:rPr>
          <w:rFonts w:hint="eastAsia"/>
          <w:strike w:val="0"/>
          <w:dstrike w:val="0"/>
          <w:color w:val="auto"/>
          <w:lang w:val="en-US" w:eastAsia="zh-CN"/>
        </w:rPr>
        <w:t>、润欣科技</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12月04日关注股票：</w:t>
      </w:r>
    </w:p>
    <w:p>
      <w:pPr>
        <w:spacing w:line="240" w:lineRule="auto"/>
        <w:rPr>
          <w:rFonts w:hint="eastAsia"/>
          <w:strike/>
          <w:dstrike w:val="0"/>
          <w:color w:val="auto"/>
          <w:lang w:val="en-US" w:eastAsia="zh-CN"/>
        </w:rPr>
      </w:pPr>
      <w:r>
        <w:rPr>
          <w:rFonts w:hint="eastAsia"/>
          <w:strike/>
          <w:dstrike w:val="0"/>
          <w:color w:val="auto"/>
          <w:lang w:val="en-US" w:eastAsia="zh-CN"/>
        </w:rPr>
        <w:t>思美传媒（</w:t>
      </w:r>
      <w:r>
        <w:rPr>
          <w:rFonts w:hint="default"/>
          <w:strike/>
          <w:dstrike w:val="0"/>
          <w:color w:val="auto"/>
          <w:lang w:val="en-US" w:eastAsia="zh-CN"/>
        </w:rPr>
        <w:t>+</w:t>
      </w:r>
      <w:r>
        <w:rPr>
          <w:rFonts w:hint="eastAsia"/>
          <w:strike/>
          <w:dstrike w:val="0"/>
          <w:color w:val="auto"/>
          <w:lang w:val="en-US" w:eastAsia="zh-CN"/>
        </w:rPr>
        <w:t>1.96</w:t>
      </w:r>
      <w:r>
        <w:rPr>
          <w:rFonts w:hint="default"/>
          <w:strike/>
          <w:dstrike w:val="0"/>
          <w:color w:val="auto"/>
          <w:lang w:val="en-US" w:eastAsia="zh-CN"/>
        </w:rPr>
        <w:t>%</w:t>
      </w:r>
      <w:r>
        <w:rPr>
          <w:rFonts w:hint="eastAsia"/>
          <w:strike/>
          <w:dstrike w:val="0"/>
          <w:color w:val="auto"/>
          <w:lang w:val="en-US" w:eastAsia="zh-CN"/>
        </w:rPr>
        <w:t>）、飞科电器（-0.18%）、鹏博士（-1.91%）、华仁药业（+1.09%）</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12月05日关注股票：</w:t>
      </w:r>
    </w:p>
    <w:p>
      <w:pPr>
        <w:spacing w:line="240" w:lineRule="auto"/>
        <w:rPr>
          <w:rFonts w:hint="default"/>
          <w:strike w:val="0"/>
          <w:dstrike w:val="0"/>
          <w:color w:val="auto"/>
          <w:lang w:val="en-US" w:eastAsia="zh-CN"/>
        </w:rPr>
      </w:pPr>
      <w:r>
        <w:rPr>
          <w:rFonts w:hint="eastAsia"/>
          <w:strike/>
          <w:dstrike w:val="0"/>
          <w:color w:val="auto"/>
          <w:lang w:val="en-US" w:eastAsia="zh-CN"/>
        </w:rPr>
        <w:t>罗牛山</w:t>
      </w:r>
      <w:r>
        <w:rPr>
          <w:rFonts w:hint="default"/>
          <w:strike/>
          <w:dstrike w:val="0"/>
          <w:color w:val="auto"/>
          <w:lang w:val="en-US" w:eastAsia="zh-CN"/>
        </w:rPr>
        <w:t>(+5.74%)</w:t>
      </w:r>
      <w:r>
        <w:rPr>
          <w:rFonts w:hint="default"/>
          <w:strike/>
          <w:dstrike w:val="0"/>
          <w:color w:val="auto"/>
          <w:lang w:val="en-US" w:eastAsia="zh-CN"/>
        </w:rPr>
        <w:br w:type="textWrapping"/>
      </w:r>
    </w:p>
    <w:p>
      <w:pPr>
        <w:spacing w:line="240" w:lineRule="auto"/>
        <w:rPr>
          <w:rFonts w:hint="eastAsia"/>
          <w:strike w:val="0"/>
          <w:dstrike w:val="0"/>
          <w:color w:val="auto"/>
          <w:lang w:val="en-US" w:eastAsia="zh-CN"/>
        </w:rPr>
      </w:pPr>
      <w:r>
        <w:rPr>
          <w:rFonts w:hint="default"/>
          <w:strike w:val="0"/>
          <w:dstrike w:val="0"/>
          <w:color w:val="auto"/>
          <w:lang w:val="en-US" w:eastAsia="zh-CN"/>
        </w:rPr>
        <w:t>12</w:t>
      </w:r>
      <w:r>
        <w:rPr>
          <w:rFonts w:hint="eastAsia"/>
          <w:strike w:val="0"/>
          <w:dstrike w:val="0"/>
          <w:color w:val="auto"/>
          <w:lang w:val="en-US" w:eastAsia="zh-CN"/>
        </w:rPr>
        <w:t>月06日关注股票：</w:t>
      </w:r>
    </w:p>
    <w:p>
      <w:pPr>
        <w:spacing w:line="240" w:lineRule="auto"/>
        <w:rPr>
          <w:rFonts w:hint="eastAsia"/>
          <w:strike/>
          <w:dstrike w:val="0"/>
          <w:color w:val="auto"/>
          <w:lang w:val="en-US" w:eastAsia="zh-CN"/>
        </w:rPr>
      </w:pPr>
      <w:r>
        <w:rPr>
          <w:rFonts w:hint="eastAsia"/>
          <w:strike/>
          <w:dstrike w:val="0"/>
          <w:color w:val="auto"/>
          <w:lang w:val="en-US" w:eastAsia="zh-CN"/>
        </w:rPr>
        <w:t>海特高新（5G）、梦网集团（5G）、</w:t>
      </w:r>
    </w:p>
    <w:p>
      <w:pPr>
        <w:spacing w:line="240" w:lineRule="auto"/>
        <w:rPr>
          <w:rFonts w:hint="eastAsia" w:eastAsiaTheme="minorEastAsia"/>
          <w:strike/>
          <w:dstrike w:val="0"/>
          <w:color w:val="auto"/>
          <w:lang w:val="en-US" w:eastAsia="zh-CN"/>
        </w:rPr>
      </w:pPr>
      <w:r>
        <w:rPr>
          <w:rFonts w:hint="eastAsia"/>
          <w:b/>
          <w:bCs/>
          <w:strike w:val="0"/>
          <w:dstrike w:val="0"/>
          <w:color w:val="FF0000"/>
          <w:lang w:val="en-US" w:eastAsia="zh-CN"/>
        </w:rPr>
        <w:t>浔兴股份</w:t>
      </w:r>
      <w:r>
        <w:rPr>
          <w:rFonts w:hint="eastAsia"/>
          <w:strike w:val="0"/>
          <w:dstrike w:val="0"/>
          <w:color w:val="auto"/>
          <w:lang w:val="en-US" w:eastAsia="zh-CN"/>
        </w:rPr>
        <w:t>（跨境电商）形态类似：</w:t>
      </w:r>
      <w:r>
        <w:rPr>
          <w:rFonts w:hint="eastAsia"/>
          <w:strike w:val="0"/>
          <w:dstrike w:val="0"/>
          <w:color w:val="FF0000"/>
          <w:lang w:val="en-US" w:eastAsia="zh-CN"/>
        </w:rPr>
        <w:t>雏鹰农牧</w:t>
      </w:r>
      <w:r>
        <w:rPr>
          <w:rFonts w:hint="eastAsia"/>
          <w:strike w:val="0"/>
          <w:dstrike w:val="0"/>
          <w:color w:val="auto"/>
          <w:lang w:val="en-US" w:eastAsia="zh-CN"/>
        </w:rPr>
        <w:t>、</w:t>
      </w:r>
      <w:r>
        <w:rPr>
          <w:rFonts w:hint="eastAsia"/>
          <w:strike/>
          <w:dstrike w:val="0"/>
          <w:color w:val="auto"/>
          <w:lang w:val="en-US" w:eastAsia="zh-CN"/>
        </w:rPr>
        <w:t>金莱特、长鹰信质、东方海洋、凯瑞德</w:t>
      </w:r>
    </w:p>
    <w:p>
      <w:pPr>
        <w:spacing w:line="240" w:lineRule="auto"/>
        <w:rPr>
          <w:rFonts w:hint="eastAsia"/>
          <w:strike w:val="0"/>
          <w:dstrike w:val="0"/>
          <w:color w:val="FF0000"/>
          <w:lang w:val="en-US" w:eastAsia="zh-CN"/>
        </w:rPr>
      </w:pPr>
      <w:r>
        <w:rPr>
          <w:rFonts w:hint="eastAsia"/>
          <w:strike w:val="0"/>
          <w:dstrike w:val="0"/>
          <w:color w:val="FF0000"/>
          <w:lang w:val="en-US" w:eastAsia="zh-CN"/>
        </w:rPr>
        <w:t>金新农（右侧趋势）、星源材质（右侧放量）、司太立</w:t>
      </w:r>
    </w:p>
    <w:p>
      <w:pPr>
        <w:spacing w:line="240" w:lineRule="auto"/>
        <w:rPr>
          <w:rFonts w:hint="eastAsia"/>
          <w:strike w:val="0"/>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12月11日关注股票：</w:t>
      </w:r>
    </w:p>
    <w:p>
      <w:pPr>
        <w:spacing w:line="240" w:lineRule="auto"/>
        <w:rPr>
          <w:rFonts w:hint="eastAsia"/>
          <w:strike/>
          <w:dstrike w:val="0"/>
          <w:color w:val="FF0000"/>
          <w:lang w:val="en-US" w:eastAsia="zh-CN"/>
        </w:rPr>
      </w:pPr>
      <w:r>
        <w:rPr>
          <w:rFonts w:hint="eastAsia"/>
          <w:strike/>
          <w:dstrike w:val="0"/>
          <w:color w:val="FF0000"/>
          <w:lang w:val="en-US" w:eastAsia="zh-CN"/>
        </w:rPr>
        <w:t>金洲管道、久立特材、玉龙股份、宜通世纪</w:t>
      </w:r>
    </w:p>
    <w:p>
      <w:pPr>
        <w:spacing w:line="240" w:lineRule="auto"/>
        <w:rPr>
          <w:rFonts w:hint="eastAsia"/>
          <w:strike/>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12月14日关注股票：</w:t>
      </w:r>
    </w:p>
    <w:p>
      <w:pPr>
        <w:spacing w:line="240" w:lineRule="auto"/>
        <w:rPr>
          <w:rFonts w:hint="eastAsia"/>
          <w:strike w:val="0"/>
          <w:dstrike w:val="0"/>
          <w:color w:val="FF0000"/>
          <w:lang w:val="en-US" w:eastAsia="zh-CN"/>
        </w:rPr>
      </w:pPr>
      <w:r>
        <w:rPr>
          <w:rFonts w:hint="eastAsia"/>
          <w:strike/>
          <w:dstrike w:val="0"/>
          <w:color w:val="FF0000"/>
          <w:lang w:val="en-US" w:eastAsia="zh-CN"/>
        </w:rPr>
        <w:t>科融环境（环保+创投）</w:t>
      </w:r>
      <w:r>
        <w:rPr>
          <w:rFonts w:hint="default"/>
          <w:strike/>
          <w:dstrike w:val="0"/>
          <w:color w:val="FF0000"/>
          <w:lang w:val="en-US" w:eastAsia="zh-CN"/>
        </w:rPr>
        <w:t>(+10.13%)</w:t>
      </w:r>
      <w:r>
        <w:rPr>
          <w:rFonts w:hint="eastAsia"/>
          <w:strike/>
          <w:dstrike w:val="0"/>
          <w:color w:val="FF0000"/>
          <w:lang w:val="en-US" w:eastAsia="zh-CN"/>
        </w:rPr>
        <w:t>、德创环保（环保）</w:t>
      </w:r>
      <w:r>
        <w:rPr>
          <w:rFonts w:hint="default"/>
          <w:strike/>
          <w:dstrike w:val="0"/>
          <w:color w:val="FF0000"/>
          <w:lang w:val="en-US" w:eastAsia="zh-CN"/>
        </w:rPr>
        <w:t>(+5.40%)</w:t>
      </w:r>
      <w:r>
        <w:rPr>
          <w:rFonts w:hint="eastAsia"/>
          <w:strike/>
          <w:dstrike w:val="0"/>
          <w:color w:val="FF0000"/>
          <w:lang w:val="en-US" w:eastAsia="zh-CN"/>
        </w:rPr>
        <w:t>、博天环境（环保+雄安）</w:t>
      </w:r>
      <w:r>
        <w:rPr>
          <w:rFonts w:hint="default"/>
          <w:strike/>
          <w:dstrike w:val="0"/>
          <w:color w:val="FF0000"/>
          <w:lang w:val="en-US" w:eastAsia="zh-CN"/>
        </w:rPr>
        <w:t>(+6.60%)</w:t>
      </w:r>
      <w:r>
        <w:rPr>
          <w:rFonts w:hint="eastAsia"/>
          <w:strike/>
          <w:dstrike w:val="0"/>
          <w:color w:val="FF0000"/>
          <w:lang w:val="en-US" w:eastAsia="zh-CN"/>
        </w:rPr>
        <w:t>、</w:t>
      </w:r>
      <w:r>
        <w:rPr>
          <w:rFonts w:hint="eastAsia"/>
          <w:strike w:val="0"/>
          <w:dstrike w:val="0"/>
          <w:color w:val="FF0000"/>
          <w:lang w:val="en-US" w:eastAsia="zh-CN"/>
        </w:rPr>
        <w:t>华控赛格（环保+创投）</w:t>
      </w:r>
      <w:r>
        <w:rPr>
          <w:rFonts w:hint="default"/>
          <w:strike w:val="0"/>
          <w:dstrike w:val="0"/>
          <w:color w:val="FF0000"/>
          <w:lang w:val="en-US" w:eastAsia="zh-CN"/>
        </w:rPr>
        <w:t>(+10.08%)</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6764BA"/>
    <w:rsid w:val="00697FC3"/>
    <w:rsid w:val="00703C1E"/>
    <w:rsid w:val="00884F90"/>
    <w:rsid w:val="00901FB1"/>
    <w:rsid w:val="00A5753D"/>
    <w:rsid w:val="00C11855"/>
    <w:rsid w:val="00C3546C"/>
    <w:rsid w:val="00D3582F"/>
    <w:rsid w:val="00D575A0"/>
    <w:rsid w:val="00E66844"/>
    <w:rsid w:val="01056385"/>
    <w:rsid w:val="010767C2"/>
    <w:rsid w:val="013419F9"/>
    <w:rsid w:val="014F3B92"/>
    <w:rsid w:val="0152242D"/>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16556C"/>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6924DC"/>
    <w:rsid w:val="0E8E7C5A"/>
    <w:rsid w:val="0E921C32"/>
    <w:rsid w:val="0E9F4838"/>
    <w:rsid w:val="0EA12E00"/>
    <w:rsid w:val="0EA52CBE"/>
    <w:rsid w:val="0EB93D02"/>
    <w:rsid w:val="0EC44D5F"/>
    <w:rsid w:val="0EC71C3E"/>
    <w:rsid w:val="0ECE38A1"/>
    <w:rsid w:val="0ED71844"/>
    <w:rsid w:val="0ED86771"/>
    <w:rsid w:val="0EDE708A"/>
    <w:rsid w:val="0EF557A5"/>
    <w:rsid w:val="0EF95003"/>
    <w:rsid w:val="0F305A06"/>
    <w:rsid w:val="0F385D65"/>
    <w:rsid w:val="0F5A3C27"/>
    <w:rsid w:val="0F65121D"/>
    <w:rsid w:val="0F7B3097"/>
    <w:rsid w:val="0F7E164C"/>
    <w:rsid w:val="0F87464D"/>
    <w:rsid w:val="0F905F80"/>
    <w:rsid w:val="0F9718D9"/>
    <w:rsid w:val="0FA849EA"/>
    <w:rsid w:val="0FB54120"/>
    <w:rsid w:val="0FC45B91"/>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51F4"/>
    <w:rsid w:val="11435115"/>
    <w:rsid w:val="114C1096"/>
    <w:rsid w:val="115724B6"/>
    <w:rsid w:val="116279E3"/>
    <w:rsid w:val="117F785F"/>
    <w:rsid w:val="11804C89"/>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72178"/>
    <w:rsid w:val="14C0137C"/>
    <w:rsid w:val="14E20D44"/>
    <w:rsid w:val="14EA5225"/>
    <w:rsid w:val="1506527E"/>
    <w:rsid w:val="15120F09"/>
    <w:rsid w:val="15270E26"/>
    <w:rsid w:val="152869AA"/>
    <w:rsid w:val="15325154"/>
    <w:rsid w:val="1548447D"/>
    <w:rsid w:val="157113EA"/>
    <w:rsid w:val="157C53E9"/>
    <w:rsid w:val="157F1CD1"/>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961582"/>
    <w:rsid w:val="16A56FB2"/>
    <w:rsid w:val="16BB7F34"/>
    <w:rsid w:val="16BF0588"/>
    <w:rsid w:val="16BF1790"/>
    <w:rsid w:val="16C64BFD"/>
    <w:rsid w:val="16D84322"/>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E27BAA"/>
    <w:rsid w:val="18FE0B3F"/>
    <w:rsid w:val="191E07B4"/>
    <w:rsid w:val="192073CC"/>
    <w:rsid w:val="19230CA2"/>
    <w:rsid w:val="192322F0"/>
    <w:rsid w:val="192478B7"/>
    <w:rsid w:val="192D31EB"/>
    <w:rsid w:val="19467740"/>
    <w:rsid w:val="19545B94"/>
    <w:rsid w:val="19552F51"/>
    <w:rsid w:val="198F7F93"/>
    <w:rsid w:val="19B47DD1"/>
    <w:rsid w:val="19BC58B8"/>
    <w:rsid w:val="19DB7347"/>
    <w:rsid w:val="19DC4D71"/>
    <w:rsid w:val="19F72C8B"/>
    <w:rsid w:val="1A0B1E43"/>
    <w:rsid w:val="1A242DB8"/>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E368CE"/>
    <w:rsid w:val="1DF17F1A"/>
    <w:rsid w:val="1DFE763D"/>
    <w:rsid w:val="1E040E8C"/>
    <w:rsid w:val="1E066BFD"/>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C06AD"/>
    <w:rsid w:val="20583167"/>
    <w:rsid w:val="206A79AA"/>
    <w:rsid w:val="2078113D"/>
    <w:rsid w:val="207C6EA9"/>
    <w:rsid w:val="20837656"/>
    <w:rsid w:val="2094409D"/>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474E9E"/>
    <w:rsid w:val="295716CD"/>
    <w:rsid w:val="297E256D"/>
    <w:rsid w:val="29901482"/>
    <w:rsid w:val="29C95D68"/>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7003F"/>
    <w:rsid w:val="2F1C1B06"/>
    <w:rsid w:val="2F331442"/>
    <w:rsid w:val="2F354053"/>
    <w:rsid w:val="2F3755CF"/>
    <w:rsid w:val="2F3921C7"/>
    <w:rsid w:val="2F3A36A2"/>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95056"/>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D16229"/>
    <w:rsid w:val="3AF87CF3"/>
    <w:rsid w:val="3B021BE7"/>
    <w:rsid w:val="3B0E4A2A"/>
    <w:rsid w:val="3B107CAF"/>
    <w:rsid w:val="3B1C1E27"/>
    <w:rsid w:val="3B4A3954"/>
    <w:rsid w:val="3B5318A0"/>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2F3EA4"/>
    <w:rsid w:val="3D322722"/>
    <w:rsid w:val="3D3E0E07"/>
    <w:rsid w:val="3D4D2885"/>
    <w:rsid w:val="3D501F86"/>
    <w:rsid w:val="3D514F6B"/>
    <w:rsid w:val="3D521FD8"/>
    <w:rsid w:val="3D5B6FD8"/>
    <w:rsid w:val="3D6B50CD"/>
    <w:rsid w:val="3D6C7970"/>
    <w:rsid w:val="3D77588E"/>
    <w:rsid w:val="3D8524B9"/>
    <w:rsid w:val="3DC67841"/>
    <w:rsid w:val="3DCC6E48"/>
    <w:rsid w:val="3DD84263"/>
    <w:rsid w:val="3DF67E21"/>
    <w:rsid w:val="3E033D16"/>
    <w:rsid w:val="3E1302F2"/>
    <w:rsid w:val="3E182749"/>
    <w:rsid w:val="3E341AE6"/>
    <w:rsid w:val="3E350DE2"/>
    <w:rsid w:val="3E51379D"/>
    <w:rsid w:val="3E721BE4"/>
    <w:rsid w:val="3E771964"/>
    <w:rsid w:val="3E795D46"/>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36E0A"/>
    <w:rsid w:val="40842D6B"/>
    <w:rsid w:val="4084312C"/>
    <w:rsid w:val="408C2152"/>
    <w:rsid w:val="40923A38"/>
    <w:rsid w:val="409F62B0"/>
    <w:rsid w:val="40AC35A1"/>
    <w:rsid w:val="40B87888"/>
    <w:rsid w:val="40BF28FF"/>
    <w:rsid w:val="40C4025B"/>
    <w:rsid w:val="40C73A71"/>
    <w:rsid w:val="40DF7769"/>
    <w:rsid w:val="40E70918"/>
    <w:rsid w:val="40F579A0"/>
    <w:rsid w:val="41161BA3"/>
    <w:rsid w:val="41197767"/>
    <w:rsid w:val="41251ED8"/>
    <w:rsid w:val="414D1A11"/>
    <w:rsid w:val="41541E79"/>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E00AC5"/>
    <w:rsid w:val="48E22322"/>
    <w:rsid w:val="48E82374"/>
    <w:rsid w:val="48F0132C"/>
    <w:rsid w:val="48F55B45"/>
    <w:rsid w:val="4918362D"/>
    <w:rsid w:val="49183BBE"/>
    <w:rsid w:val="491A4ED9"/>
    <w:rsid w:val="491F5EF2"/>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4FF65B0D"/>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30579C8"/>
    <w:rsid w:val="6309664E"/>
    <w:rsid w:val="630D0E36"/>
    <w:rsid w:val="63261329"/>
    <w:rsid w:val="63271B7D"/>
    <w:rsid w:val="63284643"/>
    <w:rsid w:val="632A0132"/>
    <w:rsid w:val="632B7E9C"/>
    <w:rsid w:val="632D66EB"/>
    <w:rsid w:val="633817A6"/>
    <w:rsid w:val="63520053"/>
    <w:rsid w:val="63524BC7"/>
    <w:rsid w:val="63540E17"/>
    <w:rsid w:val="635B0C4F"/>
    <w:rsid w:val="636433B8"/>
    <w:rsid w:val="6390026F"/>
    <w:rsid w:val="6394008A"/>
    <w:rsid w:val="639D08D0"/>
    <w:rsid w:val="63A60C4C"/>
    <w:rsid w:val="63AE2B3B"/>
    <w:rsid w:val="63B1701A"/>
    <w:rsid w:val="63D27CE5"/>
    <w:rsid w:val="63DA744D"/>
    <w:rsid w:val="63DF662B"/>
    <w:rsid w:val="63E766DA"/>
    <w:rsid w:val="63E978AB"/>
    <w:rsid w:val="63EB1E26"/>
    <w:rsid w:val="63F130FF"/>
    <w:rsid w:val="64022E8C"/>
    <w:rsid w:val="640D6D48"/>
    <w:rsid w:val="640E4306"/>
    <w:rsid w:val="641D1B0C"/>
    <w:rsid w:val="64357186"/>
    <w:rsid w:val="643764F1"/>
    <w:rsid w:val="64401FB1"/>
    <w:rsid w:val="644244C6"/>
    <w:rsid w:val="645455F2"/>
    <w:rsid w:val="645B336F"/>
    <w:rsid w:val="647C41D5"/>
    <w:rsid w:val="64966C73"/>
    <w:rsid w:val="649D4F05"/>
    <w:rsid w:val="64CA54C0"/>
    <w:rsid w:val="64CA62E5"/>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C056F"/>
    <w:rsid w:val="661E0E6E"/>
    <w:rsid w:val="6643305A"/>
    <w:rsid w:val="664B0AEB"/>
    <w:rsid w:val="664E6051"/>
    <w:rsid w:val="666826E4"/>
    <w:rsid w:val="66721D70"/>
    <w:rsid w:val="66817794"/>
    <w:rsid w:val="66954A14"/>
    <w:rsid w:val="66996902"/>
    <w:rsid w:val="669C2C6E"/>
    <w:rsid w:val="669D51F2"/>
    <w:rsid w:val="66A84C68"/>
    <w:rsid w:val="66D20C75"/>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B4A62"/>
    <w:rsid w:val="6A1B67EC"/>
    <w:rsid w:val="6A1E4169"/>
    <w:rsid w:val="6A272C44"/>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BE2084"/>
    <w:rsid w:val="76C67A20"/>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9E21C5"/>
    <w:rsid w:val="7BA13BF2"/>
    <w:rsid w:val="7BA36759"/>
    <w:rsid w:val="7BBE34CB"/>
    <w:rsid w:val="7BF262F4"/>
    <w:rsid w:val="7BFC0376"/>
    <w:rsid w:val="7C0773BC"/>
    <w:rsid w:val="7C0943F2"/>
    <w:rsid w:val="7C0C1743"/>
    <w:rsid w:val="7C1823A4"/>
    <w:rsid w:val="7C1D24D0"/>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57142B"/>
    <w:rsid w:val="7E602E99"/>
    <w:rsid w:val="7E6D1461"/>
    <w:rsid w:val="7E71238B"/>
    <w:rsid w:val="7E867A69"/>
    <w:rsid w:val="7E8A36BD"/>
    <w:rsid w:val="7E8E2BAE"/>
    <w:rsid w:val="7E900D73"/>
    <w:rsid w:val="7EAD3820"/>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2018-12-18T15:31:58Z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