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2018-1</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2</w:t>
      </w:r>
      <w:r>
        <w:rPr>
          <w:rFonts w:hint="eastAsia" w:ascii="微软雅黑" w:hAnsi="微软雅黑" w:eastAsia="微软雅黑" w:cs="微软雅黑"/>
          <w:sz w:val="22"/>
          <w:lang w:val="en-US" w:eastAsia="zh-CN"/>
        </w:rPr>
        <w:t>4</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形态越走越弱势，跌破下降趋势线，还要创新低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翻倍加仓之后，亏损缩减到-5.99%，逢反弹即可自救出局。</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持仓不动</w:t>
            </w:r>
            <w:r>
              <w:rPr>
                <w:rFonts w:hint="default" w:asciiTheme="minorEastAsia" w:hAnsiTheme="minorEastAsia" w:cstheme="minorEastAsia"/>
                <w:color w:val="auto"/>
                <w:sz w:val="21"/>
                <w:szCs w:val="21"/>
                <w:lang w:val="en-US" w:eastAsia="zh-CN"/>
              </w:rPr>
              <w:t>,</w:t>
            </w:r>
            <w:r>
              <w:rPr>
                <w:rFonts w:hint="eastAsia" w:asciiTheme="minorEastAsia" w:hAnsiTheme="minorEastAsia" w:cstheme="minorEastAsia"/>
                <w:color w:val="auto"/>
                <w:sz w:val="21"/>
                <w:szCs w:val="21"/>
                <w:lang w:val="en-US" w:eastAsia="zh-CN"/>
              </w:rPr>
              <w:t>跟随大盘反弹。</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bookmarkStart w:id="14" w:name="_GoBack"/>
            <w:bookmarkEnd w:id="14"/>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3.84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游戏版号开始审核，早盘涨停有盛天网络，中青宝，买不了。然后可选择的有：游久游戏（能买的时候已经+9%，强如风险和收益不成比例）、电广传媒（创投叠加，游戏题材不正）。选择掌趣科技由于股价低于5元属于烟蒂股票，跌幅够深，筹码下方虽然还不够集中，但是差不多值增价格，买入底仓放着。最近6个月价格在3.5元~4.5元之间震荡。</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bl>
    <w:p>
      <w:pPr>
        <w:spacing w:line="240" w:lineRule="auto"/>
        <w:rPr>
          <w:lang w:val="en-US"/>
        </w:rPr>
      </w:pPr>
      <w:bookmarkStart w:id="0" w:name="7380-1536542303605"/>
      <w:bookmarkEnd w:id="0"/>
      <w:bookmarkStart w:id="1" w:name="9057-1536542303601"/>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1</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2911-1536542303635"/>
      <w:bookmarkEnd w:id="3"/>
      <w:bookmarkStart w:id="4" w:name="1227-1536542303637"/>
      <w:bookmarkEnd w:id="4"/>
      <w:bookmarkStart w:id="5" w:name="2151-1536542303645"/>
      <w:bookmarkEnd w:id="5"/>
      <w:bookmarkStart w:id="6" w:name="1096-1536542303639"/>
      <w:bookmarkEnd w:id="6"/>
      <w:bookmarkStart w:id="7" w:name="8416-1536542303643"/>
      <w:bookmarkEnd w:id="7"/>
    </w:p>
    <w:p>
      <w:pPr>
        <w:spacing w:line="240" w:lineRule="auto"/>
        <w:rPr>
          <w:rFonts w:ascii="微软雅黑" w:hAnsi="微软雅黑" w:eastAsia="微软雅黑" w:cs="微软雅黑"/>
          <w:b/>
          <w:sz w:val="22"/>
        </w:rPr>
      </w:pPr>
      <w:r>
        <w:rPr>
          <w:rFonts w:ascii="微软雅黑" w:hAnsi="微软雅黑" w:eastAsia="微软雅黑" w:cs="微软雅黑"/>
          <w:b/>
          <w:sz w:val="22"/>
        </w:rPr>
        <w:t>今日回顾：</w:t>
      </w:r>
    </w:p>
    <w:p>
      <w:pPr>
        <w:widowControl w:val="0"/>
        <w:numPr>
          <w:ilvl w:val="0"/>
          <w:numId w:val="0"/>
        </w:numPr>
        <w:tabs>
          <w:tab w:val="left" w:pos="312"/>
        </w:tabs>
        <w:spacing w:line="240" w:lineRule="auto"/>
        <w:jc w:val="both"/>
        <w:rPr>
          <w:rFonts w:hint="eastAsia" w:eastAsiaTheme="minorEastAsia"/>
          <w:lang w:val="en-US" w:eastAsia="zh-CN"/>
        </w:rPr>
      </w:pPr>
      <w:r>
        <w:rPr>
          <w:rFonts w:hint="eastAsia"/>
          <w:lang w:val="en-US" w:eastAsia="zh-CN"/>
        </w:rPr>
        <w:t>今天涨停家数较上一交易日有所增加，两市30家涨停，跌停12家。成交量方面，沪市成交857亿元，深市成交1276亿元，两市总成交额约为2133元，</w:t>
      </w:r>
      <w:r>
        <w:rPr>
          <w:rFonts w:hint="eastAsia"/>
          <w:b/>
          <w:bCs/>
          <w:color w:val="FF0000"/>
          <w:lang w:val="en-US" w:eastAsia="zh-CN"/>
        </w:rPr>
        <w:t>较上一交易日缩量230亿元</w:t>
      </w:r>
      <w:r>
        <w:rPr>
          <w:rFonts w:hint="eastAsia"/>
          <w:lang w:val="en-US" w:eastAsia="zh-CN"/>
        </w:rPr>
        <w:t>。盘面上，</w:t>
      </w:r>
      <w:r>
        <w:rPr>
          <w:rFonts w:hint="eastAsia"/>
          <w:b/>
          <w:bCs/>
          <w:color w:val="FF0000"/>
          <w:lang w:val="en-US" w:eastAsia="zh-CN"/>
        </w:rPr>
        <w:t>5G</w:t>
      </w:r>
      <w:r>
        <w:rPr>
          <w:rFonts w:hint="eastAsia"/>
          <w:lang w:val="en-US" w:eastAsia="zh-CN"/>
        </w:rPr>
        <w:t>、啤酒、次新股等板块涨幅居前，券商、钛白粉、天津自贸区等板块跌幅居前。上周五游戏版号看好的游戏股没有能够延续，全部回落下跌。</w:t>
      </w:r>
    </w:p>
    <w:p>
      <w:pPr>
        <w:widowControl w:val="0"/>
        <w:numPr>
          <w:ilvl w:val="0"/>
          <w:numId w:val="0"/>
        </w:numPr>
        <w:tabs>
          <w:tab w:val="left" w:pos="312"/>
        </w:tabs>
        <w:spacing w:line="240" w:lineRule="auto"/>
        <w:jc w:val="both"/>
        <w:rPr>
          <w:rFonts w:hint="eastAsia"/>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lang w:val="en-US" w:eastAsia="zh-CN"/>
        </w:rPr>
      </w:pPr>
      <w:r>
        <w:rPr>
          <w:rFonts w:hint="eastAsia"/>
          <w:lang w:val="en-US" w:eastAsia="zh-CN"/>
        </w:rPr>
        <w:t>【宏观要闻】</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2019年1月1日起我国调整部分进出口关税</w:t>
      </w:r>
    </w:p>
    <w:p>
      <w:pPr>
        <w:spacing w:line="240" w:lineRule="auto"/>
        <w:rPr>
          <w:rFonts w:hint="eastAsia"/>
          <w:lang w:val="en-US" w:eastAsia="zh-CN"/>
        </w:rPr>
      </w:pPr>
      <w:r>
        <w:rPr>
          <w:rFonts w:hint="eastAsia"/>
          <w:lang w:val="en-US" w:eastAsia="zh-CN"/>
        </w:rPr>
        <w:t>国务院关税税则委员会发布关于2019年进出口暂定税率等调整方案的通知。自2019年1月1日起，对化肥、磷灰石、铁矿砂、矿渣、煤焦油、木浆等94项商品不再征收出口关税；取消氯化亚砜、新能源汽车用锂离子电池单体的进口暂定税率，恢复执行最惠国税率。继续对国内发展亟需的航空发动机、汽车生产线焊接机器人等先进设备、天然饲草、天然铀等资源性产品实施较低的进口暂定税率。自2019年7月1日起，对298项信息技术产品的最惠国税率实施第四步降税，同时对部分信息技术产品的暂定税率作相应调整。</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国家税务总局：平稳有序推进税制改革 落实好更大规模的减税措施</w:t>
      </w:r>
    </w:p>
    <w:p>
      <w:pPr>
        <w:spacing w:line="240" w:lineRule="auto"/>
        <w:rPr>
          <w:rFonts w:hint="eastAsia"/>
          <w:lang w:val="en-US" w:eastAsia="zh-CN"/>
        </w:rPr>
      </w:pPr>
      <w:r>
        <w:rPr>
          <w:rFonts w:hint="eastAsia"/>
          <w:lang w:val="en-US" w:eastAsia="zh-CN"/>
        </w:rPr>
        <w:t>近日，税务总局党委书记、局长王军主持召开党委扩大会议，传达学习中央经济工作会议精神，研究部署贯彻落实措施。会议要求，坚决不收“过头税”，坚决落实减免税政策。近期要重点抓好个人所得税专项附加扣除暂行办法的培训辅导，特别是确保1月初发放工资的纳税人能够享受到改革红利。积极配合有关部门做好推动健全地方税体系等有关改革工作。落实好更大规模的减税措施，抓紧与财政部等部门研究完善对小微企业和科技型初创企业普惠性税收减免政策，以及增值税改革等措施。</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【资讯快报】</w:t>
      </w:r>
    </w:p>
    <w:p>
      <w:pPr>
        <w:spacing w:line="240" w:lineRule="auto"/>
        <w:rPr>
          <w:rFonts w:hint="eastAsia"/>
          <w:lang w:val="en-US" w:eastAsia="zh-CN"/>
        </w:rPr>
      </w:pPr>
      <w:r>
        <w:rPr>
          <w:rFonts w:hint="eastAsia"/>
          <w:b/>
          <w:bCs/>
          <w:color w:val="FF0000"/>
          <w:lang w:val="en-US" w:eastAsia="zh-CN"/>
        </w:rPr>
        <w:t>住建部：明年把稳地价稳房价稳预期的责任落到实处 补齐租赁住房短板</w:t>
      </w:r>
    </w:p>
    <w:p>
      <w:pPr>
        <w:spacing w:line="240" w:lineRule="auto"/>
        <w:rPr>
          <w:rFonts w:hint="eastAsia"/>
          <w:lang w:val="en-US" w:eastAsia="zh-CN"/>
        </w:rPr>
      </w:pPr>
      <w:r>
        <w:rPr>
          <w:rFonts w:hint="eastAsia"/>
          <w:lang w:val="en-US" w:eastAsia="zh-CN"/>
        </w:rPr>
        <w:t>两部委发布国家物流枢纽布局和建设规划</w:t>
      </w:r>
    </w:p>
    <w:p>
      <w:pPr>
        <w:spacing w:line="240" w:lineRule="auto"/>
        <w:rPr>
          <w:rFonts w:hint="eastAsia"/>
          <w:lang w:val="en-US" w:eastAsia="zh-CN"/>
        </w:rPr>
      </w:pPr>
      <w:r>
        <w:rPr>
          <w:rFonts w:hint="eastAsia"/>
          <w:lang w:val="en-US" w:eastAsia="zh-CN"/>
        </w:rPr>
        <w:t>国税总局：已有800万纳税人开始填报专项附加扣除信息</w:t>
      </w:r>
    </w:p>
    <w:p>
      <w:pPr>
        <w:spacing w:line="240" w:lineRule="auto"/>
        <w:rPr>
          <w:rFonts w:hint="eastAsia"/>
          <w:lang w:val="en-US" w:eastAsia="zh-CN"/>
        </w:rPr>
      </w:pPr>
      <w:r>
        <w:rPr>
          <w:rFonts w:hint="eastAsia"/>
          <w:lang w:val="en-US" w:eastAsia="zh-CN"/>
        </w:rPr>
        <w:t>南下港股通25日起暂停 2019年1月2日开通</w:t>
      </w:r>
    </w:p>
    <w:p>
      <w:pPr>
        <w:spacing w:line="240" w:lineRule="auto"/>
        <w:rPr>
          <w:rFonts w:hint="eastAsia"/>
          <w:lang w:val="en-US" w:eastAsia="zh-CN"/>
        </w:rPr>
      </w:pPr>
      <w:r>
        <w:rPr>
          <w:rFonts w:hint="eastAsia"/>
          <w:lang w:val="en-US" w:eastAsia="zh-CN"/>
        </w:rPr>
        <w:t>全国股转公司与香港联交所就发行H股的挂牌公司在信息披露等监管事宜达成共识</w:t>
      </w:r>
    </w:p>
    <w:p>
      <w:pPr>
        <w:spacing w:line="240" w:lineRule="auto"/>
        <w:rPr>
          <w:rFonts w:hint="eastAsia"/>
          <w:lang w:val="en-US" w:eastAsia="zh-CN"/>
        </w:rPr>
      </w:pPr>
      <w:r>
        <w:rPr>
          <w:rFonts w:hint="eastAsia"/>
          <w:lang w:val="en-US" w:eastAsia="zh-CN"/>
        </w:rPr>
        <w:t>大商所修改强行平仓及组合保证金相关规则 明年1月2日施行</w:t>
      </w:r>
    </w:p>
    <w:p>
      <w:pPr>
        <w:spacing w:line="240" w:lineRule="auto"/>
        <w:rPr>
          <w:rFonts w:hint="eastAsia"/>
          <w:lang w:val="en-US" w:eastAsia="zh-CN"/>
        </w:rPr>
      </w:pPr>
      <w:r>
        <w:rPr>
          <w:rFonts w:hint="eastAsia"/>
          <w:lang w:val="en-US" w:eastAsia="zh-CN"/>
        </w:rPr>
        <w:t>证监会：厦门纵横集团已申请撤回申报材料，决定取消对该公司发行申报文件的审核</w:t>
      </w:r>
    </w:p>
    <w:p>
      <w:pPr>
        <w:spacing w:line="240" w:lineRule="auto"/>
        <w:rPr>
          <w:rFonts w:hint="eastAsia"/>
          <w:lang w:val="en-US" w:eastAsia="zh-CN"/>
        </w:rPr>
      </w:pPr>
      <w:r>
        <w:rPr>
          <w:rFonts w:hint="eastAsia"/>
          <w:lang w:val="en-US" w:eastAsia="zh-CN"/>
        </w:rPr>
        <w:t>央行调查：第四季度88.8%的居民认为收入增加或基本不变</w:t>
      </w: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12月24日关注：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游戏版号概念,龙头：</w:t>
      </w:r>
      <w:r>
        <w:rPr>
          <w:rFonts w:hint="eastAsia"/>
          <w:strike w:val="0"/>
          <w:dstrike w:val="0"/>
          <w:color w:val="00B050"/>
          <w:lang w:val="en-US" w:eastAsia="zh-CN"/>
        </w:rPr>
        <w:t>盛天网络</w:t>
      </w:r>
      <w:r>
        <w:rPr>
          <w:rFonts w:hint="default"/>
          <w:strike w:val="0"/>
          <w:dstrike w:val="0"/>
          <w:color w:val="00B050"/>
          <w:lang w:val="en-US" w:eastAsia="zh-CN"/>
        </w:rPr>
        <w:t>(-1.30%)</w:t>
      </w:r>
      <w:r>
        <w:rPr>
          <w:rFonts w:hint="eastAsia"/>
          <w:strike w:val="0"/>
          <w:dstrike w:val="0"/>
          <w:color w:val="FF0000"/>
          <w:lang w:val="en-US" w:eastAsia="zh-CN"/>
        </w:rPr>
        <w:t>、</w:t>
      </w:r>
      <w:r>
        <w:rPr>
          <w:rFonts w:hint="eastAsia"/>
          <w:strike w:val="0"/>
          <w:dstrike w:val="0"/>
          <w:color w:val="00B050"/>
          <w:lang w:val="en-US" w:eastAsia="zh-CN"/>
        </w:rPr>
        <w:t>中青宝</w:t>
      </w:r>
      <w:r>
        <w:rPr>
          <w:rFonts w:hint="default"/>
          <w:strike w:val="0"/>
          <w:dstrike w:val="0"/>
          <w:color w:val="00B050"/>
          <w:lang w:val="en-US" w:eastAsia="zh-CN"/>
        </w:rPr>
        <w:t>(-0.51%)</w:t>
      </w:r>
      <w:r>
        <w:rPr>
          <w:rFonts w:hint="eastAsia"/>
          <w:strike w:val="0"/>
          <w:dstrike w:val="0"/>
          <w:color w:val="FF0000"/>
          <w:lang w:val="en-US" w:eastAsia="zh-CN"/>
        </w:rPr>
        <w:t>、游久游戏</w:t>
      </w:r>
      <w:r>
        <w:rPr>
          <w:rFonts w:hint="default"/>
          <w:strike w:val="0"/>
          <w:dstrike w:val="0"/>
          <w:color w:val="FF0000"/>
          <w:lang w:val="en-US" w:eastAsia="zh-CN"/>
        </w:rPr>
        <w:t>(+3.45%)</w:t>
      </w:r>
    </w:p>
    <w:p>
      <w:pPr>
        <w:spacing w:line="240" w:lineRule="auto"/>
        <w:rPr>
          <w:rFonts w:hint="eastAsia"/>
          <w:strike w:val="0"/>
          <w:dstrike w:val="0"/>
          <w:color w:val="FF0000"/>
          <w:lang w:val="en-US" w:eastAsia="zh-CN"/>
        </w:rPr>
      </w:pPr>
      <w:r>
        <w:rPr>
          <w:rFonts w:hint="eastAsia"/>
          <w:strike w:val="0"/>
          <w:dstrike w:val="0"/>
          <w:color w:val="FF0000"/>
          <w:lang w:val="en-US" w:eastAsia="zh-CN"/>
        </w:rPr>
        <w:t>其他：</w:t>
      </w:r>
      <w:r>
        <w:rPr>
          <w:rFonts w:hint="eastAsia"/>
          <w:strike w:val="0"/>
          <w:dstrike w:val="0"/>
          <w:color w:val="00B050"/>
          <w:lang w:val="en-US" w:eastAsia="zh-CN"/>
        </w:rPr>
        <w:t>掌趣科技</w:t>
      </w:r>
      <w:r>
        <w:rPr>
          <w:rFonts w:hint="default"/>
          <w:strike w:val="0"/>
          <w:dstrike w:val="0"/>
          <w:color w:val="00B050"/>
          <w:lang w:val="en-US" w:eastAsia="zh-CN"/>
        </w:rPr>
        <w:t>(-1.31%)</w:t>
      </w:r>
      <w:r>
        <w:rPr>
          <w:rFonts w:hint="eastAsia"/>
          <w:strike w:val="0"/>
          <w:dstrike w:val="0"/>
          <w:color w:val="FF0000"/>
          <w:lang w:val="en-US" w:eastAsia="zh-CN"/>
        </w:rPr>
        <w:t>、</w:t>
      </w:r>
      <w:r>
        <w:rPr>
          <w:rFonts w:hint="eastAsia"/>
          <w:strike w:val="0"/>
          <w:dstrike w:val="0"/>
          <w:color w:val="00B050"/>
          <w:lang w:val="en-US" w:eastAsia="zh-CN"/>
        </w:rPr>
        <w:t>完美世界</w:t>
      </w:r>
      <w:r>
        <w:rPr>
          <w:rFonts w:hint="default"/>
          <w:strike w:val="0"/>
          <w:dstrike w:val="0"/>
          <w:color w:val="00B050"/>
          <w:lang w:val="en-US" w:eastAsia="zh-CN"/>
        </w:rPr>
        <w:t>(-0.83%)</w:t>
      </w:r>
      <w:r>
        <w:rPr>
          <w:rFonts w:hint="eastAsia"/>
          <w:strike w:val="0"/>
          <w:dstrike w:val="0"/>
          <w:color w:val="00B050"/>
          <w:lang w:val="en-US" w:eastAsia="zh-CN"/>
        </w:rPr>
        <w:t>、天神娱乐</w:t>
      </w:r>
      <w:r>
        <w:rPr>
          <w:rFonts w:hint="default"/>
          <w:strike w:val="0"/>
          <w:dstrike w:val="0"/>
          <w:color w:val="00B050"/>
          <w:lang w:val="en-US" w:eastAsia="zh-CN"/>
        </w:rPr>
        <w:t>(-1.76%)</w:t>
      </w:r>
      <w:r>
        <w:rPr>
          <w:rFonts w:hint="eastAsia"/>
          <w:strike w:val="0"/>
          <w:dstrike w:val="0"/>
          <w:color w:val="00B050"/>
          <w:lang w:val="en-US" w:eastAsia="zh-CN"/>
        </w:rPr>
        <w:t>、宝通科技</w:t>
      </w:r>
      <w:r>
        <w:rPr>
          <w:rFonts w:hint="default"/>
          <w:strike w:val="0"/>
          <w:dstrike w:val="0"/>
          <w:color w:val="00B050"/>
          <w:lang w:val="en-US" w:eastAsia="zh-CN"/>
        </w:rPr>
        <w:t>(-2.70%)</w:t>
      </w:r>
      <w:r>
        <w:rPr>
          <w:rFonts w:hint="eastAsia"/>
          <w:strike w:val="0"/>
          <w:dstrike w:val="0"/>
          <w:color w:val="FF0000"/>
          <w:lang w:val="en-US" w:eastAsia="zh-CN"/>
        </w:rPr>
        <w:t>、富春股份</w:t>
      </w:r>
      <w:r>
        <w:rPr>
          <w:rFonts w:hint="default"/>
          <w:strike w:val="0"/>
          <w:dstrike w:val="0"/>
          <w:color w:val="FF0000"/>
          <w:lang w:val="en-US" w:eastAsia="zh-CN"/>
        </w:rPr>
        <w:t>(+2.22%)</w:t>
      </w:r>
    </w:p>
    <w:p>
      <w:pPr>
        <w:spacing w:line="240" w:lineRule="auto"/>
        <w:rPr>
          <w:rFonts w:hint="eastAsia"/>
          <w:strike w:val="0"/>
          <w:dstrike w:val="0"/>
          <w:color w:val="FF0000"/>
          <w:lang w:val="en-US" w:eastAsia="zh-CN"/>
        </w:rPr>
      </w:pPr>
    </w:p>
    <w:p>
      <w:pPr>
        <w:spacing w:line="240" w:lineRule="auto"/>
        <w:rPr>
          <w:rFonts w:hint="eastAsia"/>
          <w:strike w:val="0"/>
          <w:dstrike w:val="0"/>
          <w:color w:val="FF0000"/>
          <w:lang w:val="en-US" w:eastAsia="zh-CN"/>
        </w:rPr>
      </w:pPr>
      <w:r>
        <w:rPr>
          <w:rFonts w:hint="eastAsia"/>
          <w:strike w:val="0"/>
          <w:dstrike w:val="0"/>
          <w:color w:val="FF0000"/>
          <w:lang w:val="en-US" w:eastAsia="zh-CN"/>
        </w:rPr>
        <w:t>12月25日关注：</w:t>
      </w:r>
    </w:p>
    <w:p>
      <w:pPr>
        <w:spacing w:line="240" w:lineRule="auto"/>
        <w:rPr>
          <w:rFonts w:hint="eastAsia" w:eastAsiaTheme="minorEastAsia"/>
          <w:strike w:val="0"/>
          <w:dstrike w:val="0"/>
          <w:color w:val="FF0000"/>
          <w:lang w:val="en-US" w:eastAsia="zh-CN"/>
        </w:rPr>
      </w:pPr>
      <w:r>
        <w:rPr>
          <w:rFonts w:hint="eastAsia"/>
          <w:strike w:val="0"/>
          <w:dstrike w:val="0"/>
          <w:color w:val="FF0000"/>
          <w:lang w:val="en-US" w:eastAsia="zh-CN"/>
        </w:rPr>
        <w:t>南京熊猫、世联行、鹏博士、富春股份、共进股份</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6764BA"/>
    <w:rsid w:val="00697FC3"/>
    <w:rsid w:val="00703C1E"/>
    <w:rsid w:val="00884F90"/>
    <w:rsid w:val="00901FB1"/>
    <w:rsid w:val="00A5753D"/>
    <w:rsid w:val="00C11855"/>
    <w:rsid w:val="00C3546C"/>
    <w:rsid w:val="00D3582F"/>
    <w:rsid w:val="00D575A0"/>
    <w:rsid w:val="00E66844"/>
    <w:rsid w:val="01056385"/>
    <w:rsid w:val="010767C2"/>
    <w:rsid w:val="013419F9"/>
    <w:rsid w:val="014F3B92"/>
    <w:rsid w:val="0152242D"/>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5029FA"/>
    <w:rsid w:val="0563041F"/>
    <w:rsid w:val="056D0B52"/>
    <w:rsid w:val="05727E2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9853DA"/>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6924DC"/>
    <w:rsid w:val="0E7F2FEB"/>
    <w:rsid w:val="0E8E7C5A"/>
    <w:rsid w:val="0E921C32"/>
    <w:rsid w:val="0E9F4838"/>
    <w:rsid w:val="0EA12E00"/>
    <w:rsid w:val="0EA52CBE"/>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B3097"/>
    <w:rsid w:val="0F7E164C"/>
    <w:rsid w:val="0F87464D"/>
    <w:rsid w:val="0F905F80"/>
    <w:rsid w:val="0F9718D9"/>
    <w:rsid w:val="0FA278EB"/>
    <w:rsid w:val="0FA849EA"/>
    <w:rsid w:val="0FB54120"/>
    <w:rsid w:val="0FC45B91"/>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961582"/>
    <w:rsid w:val="16A56FB2"/>
    <w:rsid w:val="16BB7F34"/>
    <w:rsid w:val="16BF0588"/>
    <w:rsid w:val="16BF1790"/>
    <w:rsid w:val="16C64BFD"/>
    <w:rsid w:val="16D84322"/>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242DB8"/>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52D44"/>
    <w:rsid w:val="1FCC172B"/>
    <w:rsid w:val="1FD239CE"/>
    <w:rsid w:val="1FD8670B"/>
    <w:rsid w:val="1FFB53A9"/>
    <w:rsid w:val="1FFB7524"/>
    <w:rsid w:val="2017413E"/>
    <w:rsid w:val="202404B5"/>
    <w:rsid w:val="202F2459"/>
    <w:rsid w:val="203568E0"/>
    <w:rsid w:val="204C06AD"/>
    <w:rsid w:val="20583167"/>
    <w:rsid w:val="206A79AA"/>
    <w:rsid w:val="2078113D"/>
    <w:rsid w:val="207C6EA9"/>
    <w:rsid w:val="20837656"/>
    <w:rsid w:val="2094409D"/>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980957"/>
    <w:rsid w:val="219D3E29"/>
    <w:rsid w:val="21A42738"/>
    <w:rsid w:val="21A57A73"/>
    <w:rsid w:val="21AD213B"/>
    <w:rsid w:val="21B17B55"/>
    <w:rsid w:val="21BA4D5A"/>
    <w:rsid w:val="21C61DDE"/>
    <w:rsid w:val="21C7795A"/>
    <w:rsid w:val="21DF73EA"/>
    <w:rsid w:val="21F9403C"/>
    <w:rsid w:val="220130C8"/>
    <w:rsid w:val="22165BA2"/>
    <w:rsid w:val="22190C7F"/>
    <w:rsid w:val="221F3F25"/>
    <w:rsid w:val="2231277B"/>
    <w:rsid w:val="22333AA1"/>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5EDD"/>
    <w:rsid w:val="26FD30A8"/>
    <w:rsid w:val="26FF2DF0"/>
    <w:rsid w:val="271E441C"/>
    <w:rsid w:val="2721255F"/>
    <w:rsid w:val="27217301"/>
    <w:rsid w:val="273350FA"/>
    <w:rsid w:val="27437A0D"/>
    <w:rsid w:val="274A56FA"/>
    <w:rsid w:val="275B4F9E"/>
    <w:rsid w:val="275C3451"/>
    <w:rsid w:val="276355BB"/>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474E9E"/>
    <w:rsid w:val="295716CD"/>
    <w:rsid w:val="297E256D"/>
    <w:rsid w:val="29901482"/>
    <w:rsid w:val="29C95D68"/>
    <w:rsid w:val="29F35878"/>
    <w:rsid w:val="29FB0C3F"/>
    <w:rsid w:val="2A0744E4"/>
    <w:rsid w:val="2A154AC5"/>
    <w:rsid w:val="2A220264"/>
    <w:rsid w:val="2A256612"/>
    <w:rsid w:val="2A285457"/>
    <w:rsid w:val="2A2A4C4D"/>
    <w:rsid w:val="2A3B4EF0"/>
    <w:rsid w:val="2A575882"/>
    <w:rsid w:val="2A665B39"/>
    <w:rsid w:val="2A7B42A5"/>
    <w:rsid w:val="2A802D8A"/>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61854"/>
    <w:rsid w:val="2B8667B4"/>
    <w:rsid w:val="2B8B0140"/>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3E95"/>
    <w:rsid w:val="2EB21604"/>
    <w:rsid w:val="2EB84CFE"/>
    <w:rsid w:val="2ED912C5"/>
    <w:rsid w:val="2EDC5069"/>
    <w:rsid w:val="2EF237A7"/>
    <w:rsid w:val="2EFA1C59"/>
    <w:rsid w:val="2EFA7779"/>
    <w:rsid w:val="2F005958"/>
    <w:rsid w:val="2F115E9C"/>
    <w:rsid w:val="2F17003F"/>
    <w:rsid w:val="2F1C1B06"/>
    <w:rsid w:val="2F331442"/>
    <w:rsid w:val="2F354053"/>
    <w:rsid w:val="2F3755CF"/>
    <w:rsid w:val="2F3921C7"/>
    <w:rsid w:val="2F3A36A2"/>
    <w:rsid w:val="2F3B0FB5"/>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7642F8"/>
    <w:rsid w:val="307C2FD5"/>
    <w:rsid w:val="308472ED"/>
    <w:rsid w:val="308927E7"/>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91079E"/>
    <w:rsid w:val="31980BDD"/>
    <w:rsid w:val="31995056"/>
    <w:rsid w:val="319B0DA4"/>
    <w:rsid w:val="31AE671B"/>
    <w:rsid w:val="31BC324A"/>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E75C7"/>
    <w:rsid w:val="346A6735"/>
    <w:rsid w:val="3471300F"/>
    <w:rsid w:val="347E756B"/>
    <w:rsid w:val="34874227"/>
    <w:rsid w:val="34890003"/>
    <w:rsid w:val="34931091"/>
    <w:rsid w:val="349A3EDD"/>
    <w:rsid w:val="34B775B2"/>
    <w:rsid w:val="34CD6D56"/>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587AC5"/>
    <w:rsid w:val="395E7235"/>
    <w:rsid w:val="396F6F4F"/>
    <w:rsid w:val="39710EB7"/>
    <w:rsid w:val="39884BFF"/>
    <w:rsid w:val="39952C8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D16229"/>
    <w:rsid w:val="3AF87CF3"/>
    <w:rsid w:val="3B021BE7"/>
    <w:rsid w:val="3B0E4A2A"/>
    <w:rsid w:val="3B107CAF"/>
    <w:rsid w:val="3B1C1E27"/>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6B50CD"/>
    <w:rsid w:val="3D6C7970"/>
    <w:rsid w:val="3D77588E"/>
    <w:rsid w:val="3D8524B9"/>
    <w:rsid w:val="3DC67841"/>
    <w:rsid w:val="3DCC6E48"/>
    <w:rsid w:val="3DD84263"/>
    <w:rsid w:val="3DE558B7"/>
    <w:rsid w:val="3DEF4840"/>
    <w:rsid w:val="3DF67E21"/>
    <w:rsid w:val="3E033D16"/>
    <w:rsid w:val="3E1302F2"/>
    <w:rsid w:val="3E182749"/>
    <w:rsid w:val="3E341AE6"/>
    <w:rsid w:val="3E350DE2"/>
    <w:rsid w:val="3E51379D"/>
    <w:rsid w:val="3E721BE4"/>
    <w:rsid w:val="3E771964"/>
    <w:rsid w:val="3E795D46"/>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251ED8"/>
    <w:rsid w:val="414D1A11"/>
    <w:rsid w:val="41541E79"/>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E00AC5"/>
    <w:rsid w:val="48E22322"/>
    <w:rsid w:val="48E82374"/>
    <w:rsid w:val="48F0132C"/>
    <w:rsid w:val="48F55B45"/>
    <w:rsid w:val="4918362D"/>
    <w:rsid w:val="49183BBE"/>
    <w:rsid w:val="491A4ED9"/>
    <w:rsid w:val="491F5EF2"/>
    <w:rsid w:val="49252B13"/>
    <w:rsid w:val="49294DF5"/>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C07187"/>
    <w:rsid w:val="4ADD7E5A"/>
    <w:rsid w:val="4AFD0E50"/>
    <w:rsid w:val="4B0D7D64"/>
    <w:rsid w:val="4B176EEC"/>
    <w:rsid w:val="4B2C56D0"/>
    <w:rsid w:val="4B2E2D9C"/>
    <w:rsid w:val="4B383963"/>
    <w:rsid w:val="4B4E7BB6"/>
    <w:rsid w:val="4B5D46DE"/>
    <w:rsid w:val="4B760445"/>
    <w:rsid w:val="4B807F14"/>
    <w:rsid w:val="4B825FE6"/>
    <w:rsid w:val="4B935B69"/>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B0454"/>
    <w:rsid w:val="4F4D4A7F"/>
    <w:rsid w:val="4F4E26AD"/>
    <w:rsid w:val="4F6F2B2A"/>
    <w:rsid w:val="4F965F99"/>
    <w:rsid w:val="4F9A754C"/>
    <w:rsid w:val="4FA51FC1"/>
    <w:rsid w:val="4FBA02D7"/>
    <w:rsid w:val="4FBD302C"/>
    <w:rsid w:val="4FCE2834"/>
    <w:rsid w:val="4FEE729E"/>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F3CEE"/>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520053"/>
    <w:rsid w:val="63524BC7"/>
    <w:rsid w:val="63540E17"/>
    <w:rsid w:val="635B0C4F"/>
    <w:rsid w:val="636433B8"/>
    <w:rsid w:val="6390026F"/>
    <w:rsid w:val="6394008A"/>
    <w:rsid w:val="639D08D0"/>
    <w:rsid w:val="63A60C4C"/>
    <w:rsid w:val="63AE2B3B"/>
    <w:rsid w:val="63B1701A"/>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5455F2"/>
    <w:rsid w:val="645B336F"/>
    <w:rsid w:val="647C41D5"/>
    <w:rsid w:val="64966C73"/>
    <w:rsid w:val="649D4F05"/>
    <w:rsid w:val="64CA54C0"/>
    <w:rsid w:val="64CA62E5"/>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451C2"/>
    <w:rsid w:val="660C056F"/>
    <w:rsid w:val="661E0E6E"/>
    <w:rsid w:val="6643305A"/>
    <w:rsid w:val="664B0AEB"/>
    <w:rsid w:val="664E6051"/>
    <w:rsid w:val="666826E4"/>
    <w:rsid w:val="66721D70"/>
    <w:rsid w:val="66817794"/>
    <w:rsid w:val="66954A14"/>
    <w:rsid w:val="66996902"/>
    <w:rsid w:val="669C2C6E"/>
    <w:rsid w:val="669D51F2"/>
    <w:rsid w:val="66A84C68"/>
    <w:rsid w:val="66D20C75"/>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194FFA"/>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1460D7"/>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DA15F8"/>
    <w:rsid w:val="79E57F7C"/>
    <w:rsid w:val="79E6546C"/>
    <w:rsid w:val="79F8170D"/>
    <w:rsid w:val="79FC24F5"/>
    <w:rsid w:val="79FD14B8"/>
    <w:rsid w:val="7A096A08"/>
    <w:rsid w:val="7A2A11C4"/>
    <w:rsid w:val="7A2B2F1C"/>
    <w:rsid w:val="7A3A0843"/>
    <w:rsid w:val="7A3E6A0A"/>
    <w:rsid w:val="7A4447A6"/>
    <w:rsid w:val="7A444EC0"/>
    <w:rsid w:val="7A6A7C3A"/>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57142B"/>
    <w:rsid w:val="7E602E99"/>
    <w:rsid w:val="7E6D1461"/>
    <w:rsid w:val="7E71238B"/>
    <w:rsid w:val="7E867A69"/>
    <w:rsid w:val="7E8A36BD"/>
    <w:rsid w:val="7E8E2BAE"/>
    <w:rsid w:val="7E900D73"/>
    <w:rsid w:val="7E96586D"/>
    <w:rsid w:val="7EAD3820"/>
    <w:rsid w:val="7EB87716"/>
    <w:rsid w:val="7ECF3FD1"/>
    <w:rsid w:val="7ED1289E"/>
    <w:rsid w:val="7ED33EC2"/>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2018-12-24T14:37:12Z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