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25</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翻倍加仓之后，亏损缩减到-5.99%，逢反弹即可自救出局。</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持仓不动</w:t>
            </w:r>
            <w:r>
              <w:rPr>
                <w:rFonts w:hint="default" w:asciiTheme="minorEastAsia" w:hAnsiTheme="minorEastAsia" w:cstheme="minorEastAsia"/>
                <w:color w:val="auto"/>
                <w:sz w:val="21"/>
                <w:szCs w:val="21"/>
                <w:lang w:val="en-US" w:eastAsia="zh-CN"/>
              </w:rPr>
              <w:t>,</w:t>
            </w:r>
            <w:r>
              <w:rPr>
                <w:rFonts w:hint="eastAsia" w:asciiTheme="minorEastAsia" w:hAnsiTheme="minorEastAsia" w:cstheme="minorEastAsia"/>
                <w:color w:val="auto"/>
                <w:sz w:val="21"/>
                <w:szCs w:val="21"/>
                <w:lang w:val="en-US" w:eastAsia="zh-CN"/>
              </w:rPr>
              <w:t>跟随大盘反弹。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游戏版号开始审核，早盘涨停有盛天网络，中青宝，买不了。然后可选择的有：游久游戏（能买的时候已经+9%，强如风险和收益不成比例）、电广传媒（创投叠加，游戏题材不正）。选择掌趣科技由于股价低于5元属于烟蒂股票，跌幅够深，筹码下方虽然还不够集中，但是差不多值增价格，买入底仓放着。最近6个月价格在3.5元~4.5元之间震荡。</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2151-1536542303645"/>
      <w:bookmarkEnd w:id="3"/>
      <w:bookmarkStart w:id="4" w:name="1096-1536542303639"/>
      <w:bookmarkEnd w:id="4"/>
      <w:bookmarkStart w:id="5" w:name="3677-1536542303641"/>
      <w:bookmarkEnd w:id="5"/>
      <w:bookmarkStart w:id="6" w:name="8416-1536542303643"/>
      <w:bookmarkEnd w:id="6"/>
      <w:bookmarkStart w:id="7" w:name="2911-1536542303635"/>
      <w:bookmarkEnd w:id="7"/>
      <w:r>
        <w:rPr>
          <w:rFonts w:ascii="微软雅黑" w:hAnsi="微软雅黑" w:eastAsia="微软雅黑" w:cs="微软雅黑"/>
          <w:b/>
          <w:sz w:val="22"/>
        </w:rPr>
        <w:t>今日回顾：</w:t>
      </w:r>
    </w:p>
    <w:p>
      <w:pPr>
        <w:widowControl w:val="0"/>
        <w:numPr>
          <w:ilvl w:val="0"/>
          <w:numId w:val="0"/>
        </w:numPr>
        <w:tabs>
          <w:tab w:val="left" w:pos="312"/>
        </w:tabs>
        <w:spacing w:line="240" w:lineRule="auto"/>
        <w:jc w:val="both"/>
        <w:rPr>
          <w:rFonts w:hint="eastAsia" w:eastAsiaTheme="minorEastAsia"/>
          <w:lang w:val="en-US" w:eastAsia="zh-CN"/>
        </w:rPr>
      </w:pPr>
      <w:r>
        <w:rPr>
          <w:rFonts w:hint="eastAsia" w:eastAsiaTheme="minorEastAsia"/>
          <w:lang w:val="en-US" w:eastAsia="zh-CN"/>
        </w:rPr>
        <w:t>今天涨停家数较上一交易日有所增加，两市40家涨停，跌停13家。成交量方面，沪市成交1148亿元，深市成交1612亿元，两市总成交额约为2760元，较上一交易日放量627亿元。盘面上，5G、机场航运、量子通信等板块涨幅居前，券商、期货、海南等板块跌幅居前。</w:t>
      </w: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【宏观要闻】</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新华社盘点2018年上市公司新变化：A股监管趋严 投机炒作之风有所收敛</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2018年，许多上市公司的“重要时刻”被刻在年轮中：因重大违法被强制退市的长生生物、时隔四年重新上市的长航油运、因年初不分红受关注的格力电器(000651)[AI决策]等。过这些事件，我们看到A股监管趋严、投机炒作之风有所收敛、分红理念获更多认同等新变化。</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证券基金经营机构债券投资交易业务内控指引发布：交易人员年薪超百万部分需递延发放</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国证券业协会、中国证券投资基金业协会联合发布《证券基金经营机构债券投资交易业务内控指引》，自发布之日起施行。指引要求债券投资交易人员参与债券投资交易的人员薪酬与激励合计超过100万元人民币的，超过部分应当按照等分原则递延发放，递延周期不少于2年。内控指引自发布之日开始实施。指引核心内容为业务内控，主要包括风险管理、业务管理、业务人员管理等方面。此外，指引还包括自律管理章节。</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国办发文支持文化企业发展 符合条件可上市</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国务院办公厅印发 《文化体制改革中经营性文化事业单位转制为企业的规定》和《进一步支持文化企业发展的规定》。推进国有文化资本授权经营，形成国有文化资本流动重组、布局调整的有效平台。通过公司制改建实现投资主体多元化的文化企业，符合条件的可申请上市。鼓励符合条件的已上市文化企业通过公开增发、定向增发等再融资方式进行并购和重组。鼓励符合条件的文化企业进入中小企业板、创业板、新三板、科创板等融资。</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【资讯快报】</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上周新增投资者数21.04万，前值为21.21万，环比减少0.80%</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执法检查报告：我国将进一步加大保护海洋生态环境工作力度</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工信部发文推进民爆行业向安全环保、智能制造方向发展</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发改委批准新建西安至延安铁路 项目总投资551.6亿元</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上海：落实好清理整顿交易场所工作 防范和化解金融风险</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社科院报告：去年个人融资规模接近45万亿元</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非禁即入 我国全面实施市场准入负面清单制度</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深圳举办绿色金融银企对接会 精准滴灌绿色环保等产业</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工信部发文加快推进虚拟现实产业发展</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银保监会：11月末银行业金融机构资产总额259.906万亿元，同比增6.3%</w:t>
      </w: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12月24日关注：</w:t>
      </w:r>
    </w:p>
    <w:p>
      <w:pPr>
        <w:spacing w:line="240" w:lineRule="auto"/>
        <w:rPr>
          <w:rFonts w:hint="eastAsia"/>
          <w:strike/>
          <w:dstrike w:val="0"/>
          <w:color w:val="FF0000"/>
          <w:lang w:val="en-US" w:eastAsia="zh-CN"/>
        </w:rPr>
      </w:pPr>
      <w:r>
        <w:rPr>
          <w:rFonts w:hint="eastAsia"/>
          <w:strike/>
          <w:dstrike w:val="0"/>
          <w:color w:val="FF0000"/>
          <w:lang w:val="en-US" w:eastAsia="zh-CN"/>
        </w:rPr>
        <w:t>游戏版号概念,龙头：</w:t>
      </w:r>
      <w:r>
        <w:rPr>
          <w:rFonts w:hint="eastAsia"/>
          <w:strike/>
          <w:dstrike w:val="0"/>
          <w:color w:val="00B050"/>
          <w:lang w:val="en-US" w:eastAsia="zh-CN"/>
        </w:rPr>
        <w:t>盛天网络</w:t>
      </w:r>
      <w:r>
        <w:rPr>
          <w:rFonts w:hint="default"/>
          <w:strike/>
          <w:dstrike w:val="0"/>
          <w:color w:val="00B050"/>
          <w:lang w:val="en-US" w:eastAsia="zh-CN"/>
        </w:rPr>
        <w:t>(-1.30%)</w:t>
      </w:r>
      <w:r>
        <w:rPr>
          <w:rFonts w:hint="eastAsia"/>
          <w:strike/>
          <w:dstrike w:val="0"/>
          <w:color w:val="FF0000"/>
          <w:lang w:val="en-US" w:eastAsia="zh-CN"/>
        </w:rPr>
        <w:t>、</w:t>
      </w:r>
      <w:r>
        <w:rPr>
          <w:rFonts w:hint="eastAsia"/>
          <w:strike/>
          <w:dstrike w:val="0"/>
          <w:color w:val="00B050"/>
          <w:lang w:val="en-US" w:eastAsia="zh-CN"/>
        </w:rPr>
        <w:t>中青宝</w:t>
      </w:r>
      <w:r>
        <w:rPr>
          <w:rFonts w:hint="default"/>
          <w:strike/>
          <w:dstrike w:val="0"/>
          <w:color w:val="00B050"/>
          <w:lang w:val="en-US" w:eastAsia="zh-CN"/>
        </w:rPr>
        <w:t>(-0.51%)</w:t>
      </w:r>
      <w:r>
        <w:rPr>
          <w:rFonts w:hint="eastAsia"/>
          <w:strike/>
          <w:dstrike w:val="0"/>
          <w:color w:val="FF0000"/>
          <w:lang w:val="en-US" w:eastAsia="zh-CN"/>
        </w:rPr>
        <w:t>、游久游戏</w:t>
      </w:r>
      <w:r>
        <w:rPr>
          <w:rFonts w:hint="default"/>
          <w:strike/>
          <w:dstrike w:val="0"/>
          <w:color w:val="FF0000"/>
          <w:lang w:val="en-US" w:eastAsia="zh-CN"/>
        </w:rPr>
        <w:t>(+3.45%)</w:t>
      </w:r>
    </w:p>
    <w:p>
      <w:pPr>
        <w:spacing w:line="240" w:lineRule="auto"/>
        <w:rPr>
          <w:rFonts w:hint="eastAsia"/>
          <w:strike/>
          <w:dstrike w:val="0"/>
          <w:color w:val="FF0000"/>
          <w:lang w:val="en-US" w:eastAsia="zh-CN"/>
        </w:rPr>
      </w:pPr>
      <w:r>
        <w:rPr>
          <w:rFonts w:hint="eastAsia"/>
          <w:strike/>
          <w:dstrike w:val="0"/>
          <w:color w:val="FF0000"/>
          <w:lang w:val="en-US" w:eastAsia="zh-CN"/>
        </w:rPr>
        <w:t>其他：</w:t>
      </w:r>
      <w:r>
        <w:rPr>
          <w:rFonts w:hint="eastAsia"/>
          <w:strike/>
          <w:dstrike w:val="0"/>
          <w:color w:val="00B050"/>
          <w:lang w:val="en-US" w:eastAsia="zh-CN"/>
        </w:rPr>
        <w:t>掌趣科技</w:t>
      </w:r>
      <w:r>
        <w:rPr>
          <w:rFonts w:hint="default"/>
          <w:strike/>
          <w:dstrike w:val="0"/>
          <w:color w:val="00B050"/>
          <w:lang w:val="en-US" w:eastAsia="zh-CN"/>
        </w:rPr>
        <w:t>(-1.31%)</w:t>
      </w:r>
      <w:r>
        <w:rPr>
          <w:rFonts w:hint="eastAsia"/>
          <w:strike/>
          <w:dstrike w:val="0"/>
          <w:color w:val="FF0000"/>
          <w:lang w:val="en-US" w:eastAsia="zh-CN"/>
        </w:rPr>
        <w:t>、</w:t>
      </w:r>
      <w:r>
        <w:rPr>
          <w:rFonts w:hint="eastAsia"/>
          <w:strike/>
          <w:dstrike w:val="0"/>
          <w:color w:val="00B050"/>
          <w:lang w:val="en-US" w:eastAsia="zh-CN"/>
        </w:rPr>
        <w:t>完美世界</w:t>
      </w:r>
      <w:r>
        <w:rPr>
          <w:rFonts w:hint="default"/>
          <w:strike/>
          <w:dstrike w:val="0"/>
          <w:color w:val="00B050"/>
          <w:lang w:val="en-US" w:eastAsia="zh-CN"/>
        </w:rPr>
        <w:t>(-0.83%)</w:t>
      </w:r>
      <w:r>
        <w:rPr>
          <w:rFonts w:hint="eastAsia"/>
          <w:strike/>
          <w:dstrike w:val="0"/>
          <w:color w:val="00B050"/>
          <w:lang w:val="en-US" w:eastAsia="zh-CN"/>
        </w:rPr>
        <w:t>、天神</w:t>
      </w:r>
      <w:bookmarkStart w:id="14" w:name="_GoBack"/>
      <w:bookmarkEnd w:id="14"/>
      <w:r>
        <w:rPr>
          <w:rFonts w:hint="eastAsia"/>
          <w:strike/>
          <w:dstrike w:val="0"/>
          <w:color w:val="00B050"/>
          <w:lang w:val="en-US" w:eastAsia="zh-CN"/>
        </w:rPr>
        <w:t>娱乐</w:t>
      </w:r>
      <w:r>
        <w:rPr>
          <w:rFonts w:hint="default"/>
          <w:strike/>
          <w:dstrike w:val="0"/>
          <w:color w:val="00B050"/>
          <w:lang w:val="en-US" w:eastAsia="zh-CN"/>
        </w:rPr>
        <w:t>(-1.76%)</w:t>
      </w:r>
      <w:r>
        <w:rPr>
          <w:rFonts w:hint="eastAsia"/>
          <w:strike/>
          <w:dstrike w:val="0"/>
          <w:color w:val="00B050"/>
          <w:lang w:val="en-US" w:eastAsia="zh-CN"/>
        </w:rPr>
        <w:t>、宝通科技</w:t>
      </w:r>
      <w:r>
        <w:rPr>
          <w:rFonts w:hint="default"/>
          <w:strike/>
          <w:dstrike w:val="0"/>
          <w:color w:val="00B050"/>
          <w:lang w:val="en-US" w:eastAsia="zh-CN"/>
        </w:rPr>
        <w:t>(-2.70%)</w:t>
      </w:r>
      <w:r>
        <w:rPr>
          <w:rFonts w:hint="eastAsia"/>
          <w:strike/>
          <w:dstrike w:val="0"/>
          <w:color w:val="FF0000"/>
          <w:lang w:val="en-US" w:eastAsia="zh-CN"/>
        </w:rPr>
        <w:t>、富春股份</w:t>
      </w:r>
      <w:r>
        <w:rPr>
          <w:rFonts w:hint="default"/>
          <w:strike/>
          <w:dstrike w:val="0"/>
          <w:color w:val="FF0000"/>
          <w:lang w:val="en-US" w:eastAsia="zh-CN"/>
        </w:rPr>
        <w:t>(+2.22%)</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12月25日关注：</w:t>
      </w:r>
    </w:p>
    <w:p>
      <w:pPr>
        <w:spacing w:line="240" w:lineRule="auto"/>
        <w:rPr>
          <w:rFonts w:hint="eastAsia" w:eastAsiaTheme="minorEastAsia"/>
          <w:strike w:val="0"/>
          <w:dstrike w:val="0"/>
          <w:color w:val="FF0000"/>
          <w:lang w:val="en-US" w:eastAsia="zh-CN"/>
        </w:rPr>
      </w:pPr>
      <w:r>
        <w:rPr>
          <w:rFonts w:hint="eastAsia"/>
          <w:strike w:val="0"/>
          <w:dstrike w:val="0"/>
          <w:color w:val="FF0000"/>
          <w:lang w:val="en-US" w:eastAsia="zh-CN"/>
        </w:rPr>
        <w:t>南京熊猫</w:t>
      </w:r>
      <w:r>
        <w:rPr>
          <w:rFonts w:hint="default"/>
          <w:strike w:val="0"/>
          <w:dstrike w:val="0"/>
          <w:color w:val="FF0000"/>
          <w:lang w:val="en-US" w:eastAsia="zh-CN"/>
        </w:rPr>
        <w:t>(+5.93%)</w:t>
      </w:r>
      <w:r>
        <w:rPr>
          <w:rFonts w:hint="eastAsia"/>
          <w:strike w:val="0"/>
          <w:dstrike w:val="0"/>
          <w:color w:val="FF0000"/>
          <w:lang w:val="en-US" w:eastAsia="zh-CN"/>
        </w:rPr>
        <w:t>、</w:t>
      </w:r>
      <w:r>
        <w:rPr>
          <w:rFonts w:hint="eastAsia"/>
          <w:strike w:val="0"/>
          <w:dstrike w:val="0"/>
          <w:color w:val="92D050"/>
          <w:lang w:val="en-US" w:eastAsia="zh-CN"/>
        </w:rPr>
        <w:t>世联行</w:t>
      </w:r>
      <w:r>
        <w:rPr>
          <w:rFonts w:hint="default"/>
          <w:strike w:val="0"/>
          <w:dstrike w:val="0"/>
          <w:color w:val="92D050"/>
          <w:lang w:val="en-US" w:eastAsia="zh-CN"/>
        </w:rPr>
        <w:t>(-1.85%)</w:t>
      </w:r>
      <w:r>
        <w:rPr>
          <w:rFonts w:hint="eastAsia"/>
          <w:strike w:val="0"/>
          <w:dstrike w:val="0"/>
          <w:color w:val="FF0000"/>
          <w:lang w:val="en-US" w:eastAsia="zh-CN"/>
        </w:rPr>
        <w:t>、</w:t>
      </w:r>
      <w:r>
        <w:rPr>
          <w:rFonts w:hint="eastAsia"/>
          <w:strike w:val="0"/>
          <w:dstrike w:val="0"/>
          <w:color w:val="92D050"/>
          <w:lang w:val="en-US" w:eastAsia="zh-CN"/>
        </w:rPr>
        <w:t>鹏博士</w:t>
      </w:r>
      <w:r>
        <w:rPr>
          <w:rFonts w:hint="default"/>
          <w:strike w:val="0"/>
          <w:dstrike w:val="0"/>
          <w:color w:val="92D050"/>
          <w:lang w:val="en-US" w:eastAsia="zh-CN"/>
        </w:rPr>
        <w:t>(-1.76%)</w:t>
      </w:r>
      <w:r>
        <w:rPr>
          <w:rFonts w:hint="eastAsia"/>
          <w:strike w:val="0"/>
          <w:dstrike w:val="0"/>
          <w:color w:val="FF0000"/>
          <w:lang w:val="en-US" w:eastAsia="zh-CN"/>
        </w:rPr>
        <w:t>、富春股份</w:t>
      </w:r>
      <w:r>
        <w:rPr>
          <w:rFonts w:hint="default"/>
          <w:strike w:val="0"/>
          <w:dstrike w:val="0"/>
          <w:color w:val="FF0000"/>
          <w:lang w:val="en-US" w:eastAsia="zh-CN"/>
        </w:rPr>
        <w:t>(+3.94%)</w:t>
      </w:r>
      <w:r>
        <w:rPr>
          <w:rFonts w:hint="eastAsia"/>
          <w:strike w:val="0"/>
          <w:dstrike w:val="0"/>
          <w:color w:val="FF0000"/>
          <w:lang w:val="en-US" w:eastAsia="zh-CN"/>
        </w:rPr>
        <w:t>、共进股份</w:t>
      </w:r>
      <w:r>
        <w:rPr>
          <w:rFonts w:hint="default"/>
          <w:strike w:val="0"/>
          <w:dstrike w:val="0"/>
          <w:color w:val="FF0000"/>
          <w:lang w:val="en-US" w:eastAsia="zh-CN"/>
        </w:rPr>
        <w:t>(+2.93%)</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C2C3F"/>
    <w:rsid w:val="006764BA"/>
    <w:rsid w:val="00697FC3"/>
    <w:rsid w:val="00703C1E"/>
    <w:rsid w:val="00884F90"/>
    <w:rsid w:val="00901FB1"/>
    <w:rsid w:val="00A5753D"/>
    <w:rsid w:val="00C11855"/>
    <w:rsid w:val="00C3546C"/>
    <w:rsid w:val="00D3582F"/>
    <w:rsid w:val="00D575A0"/>
    <w:rsid w:val="00E66844"/>
    <w:rsid w:val="01056385"/>
    <w:rsid w:val="010767C2"/>
    <w:rsid w:val="013419F9"/>
    <w:rsid w:val="014F3B92"/>
    <w:rsid w:val="0152242D"/>
    <w:rsid w:val="0157057E"/>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585FB5"/>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933068"/>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E00AC5"/>
    <w:rsid w:val="48E22322"/>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AFD0E50"/>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576DE"/>
    <w:rsid w:val="4FCE2834"/>
    <w:rsid w:val="4FEE729E"/>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6586D"/>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2018-12-25T11:18:28Z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