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8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形态越走越弱势，跌破下降趋势线，还要创新低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今天开始下跌，图形走坏</w:t>
            </w:r>
            <w:r>
              <w:rPr>
                <w:rFonts w:hint="default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等明年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持仓1200股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21.71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22.79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</w:t>
            </w: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跟随大盘反弹。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雏鹰农牧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1.63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1.94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贴着boll下轨缩量下跌，等待大盘反弹或者该股放量才有机会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掌趣科技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3.84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4.00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游戏版号开始审核，早盘涨停有盛天网络，中青宝，买不了。然后可选择的有：游久游戏（能买的时候已经+9%，强如风险和收益不成比例）、电广传媒（创投叠加，游戏题材不正）。选择掌趣科技由于股价低于5元属于烟蒂股票，跌幅够深，筹码下方虽然还不够集中，但是差不多值增价格，买入底仓放着。最近6个月价格在3.5元~4.5元之间震荡。等明年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8416-1536542303643"/>
      <w:bookmarkEnd w:id="2"/>
      <w:bookmarkStart w:id="3" w:name="2911-1536542303635"/>
      <w:bookmarkEnd w:id="3"/>
      <w:bookmarkStart w:id="4" w:name="3677-1536542303641"/>
      <w:bookmarkEnd w:id="4"/>
      <w:bookmarkStart w:id="5" w:name="1096-1536542303639"/>
      <w:bookmarkEnd w:id="5"/>
      <w:bookmarkStart w:id="6" w:name="1227-1536542303637"/>
      <w:bookmarkEnd w:id="6"/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开盘，受“卖出看跌石油期权巨亏影响”（小道消息未证实）权重股中国石化继续低开，不过好在券商股集体反弹，贵州茅台和招商银行也出现止跌反弹的带动下，指数在2018年全年跌25%的情况下，最后一个交易日红盘报收。</w:t>
      </w:r>
      <w:bookmarkStart w:id="14" w:name="_GoBack"/>
      <w:bookmarkEnd w:id="14"/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【宏观新闻】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证监会部署第四批专项执法行动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证监会新闻发言人表示，证监会部署第四批专项执法行动，严厉打击屡查屡犯的违法犯罪行为，确定了对9起案件集中部署。证监会将配合公安机关追究违法主体刑事责任，有力维护资本市场健康发展。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中金所发布做市商管理办法 旨在提升市场流动性、防范价格瞬时大幅波动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金所发布做市商管理办法，中金所相关负责人介绍，《办法》的推出，旨在提升市场流动性、防范价格瞬时大幅波动、促进相关品种合理定价，有助于金融期货市场的功能发挥和健康稳定发展。下一步，中金所将在中国证监会的统一领导和部署下，适时在有关品种上引入做市商，并监督做市商合法合规开展业务，保障金融期货市场平稳运行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上交所发布停复牌新规：筹划重大事项停牌时间不超过10个交易日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交所发布新修订的《上海证券交易所上市公司筹划重大事项停复牌业务指引》。新《停复牌指引》对重大资产重组停复牌事项主要做出了5项修订：一是缩短重组停牌期限，停牌时间不超过10个交易日。二是减少重组停牌情形，仅允许发行股份或发行定向可转债购买资产的重组停牌。三是要求停牌期限届满即披露预案。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12月24日关注：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游戏版号概念,龙头：</w:t>
      </w:r>
      <w:r>
        <w:rPr>
          <w:rFonts w:hint="eastAsia"/>
          <w:strike/>
          <w:dstrike w:val="0"/>
          <w:color w:val="00B050"/>
          <w:lang w:val="en-US" w:eastAsia="zh-CN"/>
        </w:rPr>
        <w:t>盛天网络</w:t>
      </w:r>
      <w:r>
        <w:rPr>
          <w:rFonts w:hint="default"/>
          <w:strike/>
          <w:dstrike w:val="0"/>
          <w:color w:val="00B050"/>
          <w:lang w:val="en-US" w:eastAsia="zh-CN"/>
        </w:rPr>
        <w:t>(-1.30%)</w:t>
      </w:r>
      <w:r>
        <w:rPr>
          <w:rFonts w:hint="eastAsia"/>
          <w:strike/>
          <w:dstrike w:val="0"/>
          <w:color w:val="FF0000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中青宝</w:t>
      </w:r>
      <w:r>
        <w:rPr>
          <w:rFonts w:hint="default"/>
          <w:strike/>
          <w:dstrike w:val="0"/>
          <w:color w:val="00B050"/>
          <w:lang w:val="en-US" w:eastAsia="zh-CN"/>
        </w:rPr>
        <w:t>(-0.51%)</w:t>
      </w:r>
      <w:r>
        <w:rPr>
          <w:rFonts w:hint="eastAsia"/>
          <w:strike/>
          <w:dstrike w:val="0"/>
          <w:color w:val="FF0000"/>
          <w:lang w:val="en-US" w:eastAsia="zh-CN"/>
        </w:rPr>
        <w:t>、游久游戏</w:t>
      </w:r>
      <w:r>
        <w:rPr>
          <w:rFonts w:hint="default"/>
          <w:strike/>
          <w:dstrike w:val="0"/>
          <w:color w:val="FF0000"/>
          <w:lang w:val="en-US" w:eastAsia="zh-CN"/>
        </w:rPr>
        <w:t>(+3.45%)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其他：</w:t>
      </w:r>
      <w:r>
        <w:rPr>
          <w:rFonts w:hint="eastAsia"/>
          <w:strike/>
          <w:dstrike w:val="0"/>
          <w:color w:val="00B050"/>
          <w:lang w:val="en-US" w:eastAsia="zh-CN"/>
        </w:rPr>
        <w:t>掌趣科技</w:t>
      </w:r>
      <w:r>
        <w:rPr>
          <w:rFonts w:hint="default"/>
          <w:strike/>
          <w:dstrike w:val="0"/>
          <w:color w:val="00B050"/>
          <w:lang w:val="en-US" w:eastAsia="zh-CN"/>
        </w:rPr>
        <w:t>(-1.31%)</w:t>
      </w:r>
      <w:r>
        <w:rPr>
          <w:rFonts w:hint="eastAsia"/>
          <w:strike/>
          <w:dstrike w:val="0"/>
          <w:color w:val="FF0000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完美世界</w:t>
      </w:r>
      <w:r>
        <w:rPr>
          <w:rFonts w:hint="default"/>
          <w:strike/>
          <w:dstrike w:val="0"/>
          <w:color w:val="00B050"/>
          <w:lang w:val="en-US" w:eastAsia="zh-CN"/>
        </w:rPr>
        <w:t>(-0.83%)</w:t>
      </w:r>
      <w:r>
        <w:rPr>
          <w:rFonts w:hint="eastAsia"/>
          <w:strike/>
          <w:dstrike w:val="0"/>
          <w:color w:val="00B050"/>
          <w:lang w:val="en-US" w:eastAsia="zh-CN"/>
        </w:rPr>
        <w:t>、天神娱乐</w:t>
      </w:r>
      <w:r>
        <w:rPr>
          <w:rFonts w:hint="default"/>
          <w:strike/>
          <w:dstrike w:val="0"/>
          <w:color w:val="00B050"/>
          <w:lang w:val="en-US" w:eastAsia="zh-CN"/>
        </w:rPr>
        <w:t>(-1.76%)</w:t>
      </w:r>
      <w:r>
        <w:rPr>
          <w:rFonts w:hint="eastAsia"/>
          <w:strike/>
          <w:dstrike w:val="0"/>
          <w:color w:val="00B050"/>
          <w:lang w:val="en-US" w:eastAsia="zh-CN"/>
        </w:rPr>
        <w:t>、宝通科技</w:t>
      </w:r>
      <w:r>
        <w:rPr>
          <w:rFonts w:hint="default"/>
          <w:strike/>
          <w:dstrike w:val="0"/>
          <w:color w:val="00B050"/>
          <w:lang w:val="en-US" w:eastAsia="zh-CN"/>
        </w:rPr>
        <w:t>(-2.70%)</w:t>
      </w:r>
      <w:r>
        <w:rPr>
          <w:rFonts w:hint="eastAsia"/>
          <w:strike/>
          <w:dstrike w:val="0"/>
          <w:color w:val="FF0000"/>
          <w:lang w:val="en-US" w:eastAsia="zh-CN"/>
        </w:rPr>
        <w:t>、富春股份</w:t>
      </w:r>
      <w:r>
        <w:rPr>
          <w:rFonts w:hint="default"/>
          <w:strike/>
          <w:dstrike w:val="0"/>
          <w:color w:val="FF0000"/>
          <w:lang w:val="en-US" w:eastAsia="zh-CN"/>
        </w:rPr>
        <w:t>(+2.22%)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12月25日关注：</w:t>
      </w:r>
    </w:p>
    <w:p>
      <w:pPr>
        <w:spacing w:line="240" w:lineRule="auto"/>
        <w:rPr>
          <w:rFonts w:hint="default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南京熊猫</w:t>
      </w:r>
      <w:r>
        <w:rPr>
          <w:rFonts w:hint="default"/>
          <w:strike/>
          <w:dstrike w:val="0"/>
          <w:color w:val="FF0000"/>
          <w:lang w:val="en-US" w:eastAsia="zh-CN"/>
        </w:rPr>
        <w:t>(+5.93%)</w:t>
      </w:r>
      <w:r>
        <w:rPr>
          <w:rFonts w:hint="eastAsia"/>
          <w:strike/>
          <w:dstrike w:val="0"/>
          <w:color w:val="FF0000"/>
          <w:lang w:val="en-US" w:eastAsia="zh-CN"/>
        </w:rPr>
        <w:t>、</w:t>
      </w:r>
      <w:r>
        <w:rPr>
          <w:rFonts w:hint="eastAsia"/>
          <w:strike/>
          <w:dstrike w:val="0"/>
          <w:color w:val="92D050"/>
          <w:lang w:val="en-US" w:eastAsia="zh-CN"/>
        </w:rPr>
        <w:t>世联行</w:t>
      </w:r>
      <w:r>
        <w:rPr>
          <w:rFonts w:hint="default"/>
          <w:strike/>
          <w:dstrike w:val="0"/>
          <w:color w:val="92D050"/>
          <w:lang w:val="en-US" w:eastAsia="zh-CN"/>
        </w:rPr>
        <w:t>(-1.85%)</w:t>
      </w:r>
      <w:r>
        <w:rPr>
          <w:rFonts w:hint="eastAsia"/>
          <w:strike/>
          <w:dstrike w:val="0"/>
          <w:color w:val="FF0000"/>
          <w:lang w:val="en-US" w:eastAsia="zh-CN"/>
        </w:rPr>
        <w:t>、</w:t>
      </w:r>
      <w:r>
        <w:rPr>
          <w:rFonts w:hint="eastAsia"/>
          <w:strike/>
          <w:dstrike w:val="0"/>
          <w:color w:val="92D050"/>
          <w:lang w:val="en-US" w:eastAsia="zh-CN"/>
        </w:rPr>
        <w:t>鹏博士</w:t>
      </w:r>
      <w:r>
        <w:rPr>
          <w:rFonts w:hint="default"/>
          <w:strike/>
          <w:dstrike w:val="0"/>
          <w:color w:val="92D050"/>
          <w:lang w:val="en-US" w:eastAsia="zh-CN"/>
        </w:rPr>
        <w:t>(-1.76%)</w:t>
      </w:r>
      <w:r>
        <w:rPr>
          <w:rFonts w:hint="eastAsia"/>
          <w:strike/>
          <w:dstrike w:val="0"/>
          <w:color w:val="FF0000"/>
          <w:lang w:val="en-US" w:eastAsia="zh-CN"/>
        </w:rPr>
        <w:t>、富春股份</w:t>
      </w:r>
      <w:r>
        <w:rPr>
          <w:rFonts w:hint="default"/>
          <w:strike/>
          <w:dstrike w:val="0"/>
          <w:color w:val="FF0000"/>
          <w:lang w:val="en-US" w:eastAsia="zh-CN"/>
        </w:rPr>
        <w:t>(+3.94%)</w:t>
      </w:r>
      <w:r>
        <w:rPr>
          <w:rFonts w:hint="eastAsia"/>
          <w:strike/>
          <w:dstrike w:val="0"/>
          <w:color w:val="FF0000"/>
          <w:lang w:val="en-US" w:eastAsia="zh-CN"/>
        </w:rPr>
        <w:t>、共进股份</w:t>
      </w:r>
      <w:r>
        <w:rPr>
          <w:rFonts w:hint="default"/>
          <w:strike/>
          <w:dstrike w:val="0"/>
          <w:color w:val="FF0000"/>
          <w:lang w:val="en-US" w:eastAsia="zh-CN"/>
        </w:rPr>
        <w:t>(+2.93%)</w:t>
      </w:r>
    </w:p>
    <w:p>
      <w:pPr>
        <w:spacing w:line="240" w:lineRule="auto"/>
        <w:rPr>
          <w:rFonts w:hint="default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12月27日关注：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鲁信创投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277432"/>
    <w:rsid w:val="004D4197"/>
    <w:rsid w:val="0052221C"/>
    <w:rsid w:val="005863AF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3419F9"/>
    <w:rsid w:val="014F3B92"/>
    <w:rsid w:val="0152242D"/>
    <w:rsid w:val="0157057E"/>
    <w:rsid w:val="01647B7E"/>
    <w:rsid w:val="016B2B40"/>
    <w:rsid w:val="017B05B5"/>
    <w:rsid w:val="018E3018"/>
    <w:rsid w:val="01977FEF"/>
    <w:rsid w:val="01A25280"/>
    <w:rsid w:val="01A5702C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8211EDF"/>
    <w:rsid w:val="082A4645"/>
    <w:rsid w:val="082D6981"/>
    <w:rsid w:val="083D2004"/>
    <w:rsid w:val="084322AE"/>
    <w:rsid w:val="08446E1E"/>
    <w:rsid w:val="08447F53"/>
    <w:rsid w:val="084721DB"/>
    <w:rsid w:val="084C0D07"/>
    <w:rsid w:val="084F6707"/>
    <w:rsid w:val="0854258D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F2FEB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B3097"/>
    <w:rsid w:val="0F7E164C"/>
    <w:rsid w:val="0F87464D"/>
    <w:rsid w:val="0F905F80"/>
    <w:rsid w:val="0F9718D9"/>
    <w:rsid w:val="0FA278EB"/>
    <w:rsid w:val="0FA849EA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9B1563"/>
    <w:rsid w:val="10A342D1"/>
    <w:rsid w:val="10AD53AA"/>
    <w:rsid w:val="10C528E9"/>
    <w:rsid w:val="10C67B85"/>
    <w:rsid w:val="10E045BB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8E315B"/>
    <w:rsid w:val="129313C9"/>
    <w:rsid w:val="129B0032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8D45C5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961582"/>
    <w:rsid w:val="16A56FB2"/>
    <w:rsid w:val="16BB7F34"/>
    <w:rsid w:val="16BF0588"/>
    <w:rsid w:val="16BF1790"/>
    <w:rsid w:val="16C64BFD"/>
    <w:rsid w:val="16D84322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A25DA4"/>
    <w:rsid w:val="1EAC0280"/>
    <w:rsid w:val="1EB5423E"/>
    <w:rsid w:val="1EC44101"/>
    <w:rsid w:val="1EC801D8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C06AD"/>
    <w:rsid w:val="20583167"/>
    <w:rsid w:val="206A79AA"/>
    <w:rsid w:val="2078113D"/>
    <w:rsid w:val="207C6EA9"/>
    <w:rsid w:val="20837656"/>
    <w:rsid w:val="2094409D"/>
    <w:rsid w:val="20A06974"/>
    <w:rsid w:val="20B176AD"/>
    <w:rsid w:val="20BF12E3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1277B"/>
    <w:rsid w:val="22333AA1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2A3C30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B7E15"/>
    <w:rsid w:val="27706349"/>
    <w:rsid w:val="277066B4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5716CD"/>
    <w:rsid w:val="297E256D"/>
    <w:rsid w:val="29901482"/>
    <w:rsid w:val="29C95D68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A004C2"/>
    <w:rsid w:val="2AAF3433"/>
    <w:rsid w:val="2AD01279"/>
    <w:rsid w:val="2AD94C46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00ADB"/>
    <w:rsid w:val="2B9102BE"/>
    <w:rsid w:val="2B9C3E2A"/>
    <w:rsid w:val="2BB83060"/>
    <w:rsid w:val="2BBA1B4A"/>
    <w:rsid w:val="2BBE6C0E"/>
    <w:rsid w:val="2BDA1082"/>
    <w:rsid w:val="2BE454D5"/>
    <w:rsid w:val="2BE546C3"/>
    <w:rsid w:val="2BE56899"/>
    <w:rsid w:val="2BE7784D"/>
    <w:rsid w:val="2BEE5F38"/>
    <w:rsid w:val="2C01653C"/>
    <w:rsid w:val="2C174697"/>
    <w:rsid w:val="2C1A5864"/>
    <w:rsid w:val="2C36468A"/>
    <w:rsid w:val="2C380A4C"/>
    <w:rsid w:val="2C440E44"/>
    <w:rsid w:val="2C517FCF"/>
    <w:rsid w:val="2C5A3919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331442"/>
    <w:rsid w:val="2F354053"/>
    <w:rsid w:val="2F3755CF"/>
    <w:rsid w:val="2F3921C7"/>
    <w:rsid w:val="2F3A36A2"/>
    <w:rsid w:val="2F3B0FB5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C3728"/>
    <w:rsid w:val="307642F8"/>
    <w:rsid w:val="307C2FD5"/>
    <w:rsid w:val="308472ED"/>
    <w:rsid w:val="308927E7"/>
    <w:rsid w:val="30966796"/>
    <w:rsid w:val="30A83E2F"/>
    <w:rsid w:val="30BE10FD"/>
    <w:rsid w:val="30D165FB"/>
    <w:rsid w:val="30D22C4D"/>
    <w:rsid w:val="30D824CE"/>
    <w:rsid w:val="30E6693B"/>
    <w:rsid w:val="30E8604C"/>
    <w:rsid w:val="310E31BE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EA534E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CD6D56"/>
    <w:rsid w:val="34E038B6"/>
    <w:rsid w:val="34E2546A"/>
    <w:rsid w:val="34E30F0F"/>
    <w:rsid w:val="34F01269"/>
    <w:rsid w:val="35007CFC"/>
    <w:rsid w:val="351241C6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7D1CA5"/>
    <w:rsid w:val="39884BFF"/>
    <w:rsid w:val="39952C8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D16229"/>
    <w:rsid w:val="3AF87CF3"/>
    <w:rsid w:val="3B021BE7"/>
    <w:rsid w:val="3B0E4A2A"/>
    <w:rsid w:val="3B107CAF"/>
    <w:rsid w:val="3B1C1E27"/>
    <w:rsid w:val="3B4A3954"/>
    <w:rsid w:val="3B5318A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6B50CD"/>
    <w:rsid w:val="3D6C7970"/>
    <w:rsid w:val="3D77588E"/>
    <w:rsid w:val="3D8524B9"/>
    <w:rsid w:val="3DC67841"/>
    <w:rsid w:val="3DCC6E48"/>
    <w:rsid w:val="3DD84263"/>
    <w:rsid w:val="3DE558B7"/>
    <w:rsid w:val="3DEF4840"/>
    <w:rsid w:val="3DF67E21"/>
    <w:rsid w:val="3E033D16"/>
    <w:rsid w:val="3E1302F2"/>
    <w:rsid w:val="3E182749"/>
    <w:rsid w:val="3E341AE6"/>
    <w:rsid w:val="3E350DE2"/>
    <w:rsid w:val="3E51379D"/>
    <w:rsid w:val="3E721BE4"/>
    <w:rsid w:val="3E771964"/>
    <w:rsid w:val="3E795D46"/>
    <w:rsid w:val="3E933068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787772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BB54B3"/>
    <w:rsid w:val="41C6087A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1561E0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CE01C1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AFD0E5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B0454"/>
    <w:rsid w:val="4F4D4A7F"/>
    <w:rsid w:val="4F4E26AD"/>
    <w:rsid w:val="4F6F2B2A"/>
    <w:rsid w:val="4F965F99"/>
    <w:rsid w:val="4F9A754C"/>
    <w:rsid w:val="4FA51FC1"/>
    <w:rsid w:val="4FBA02D7"/>
    <w:rsid w:val="4FBD302C"/>
    <w:rsid w:val="4FC576DE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4469"/>
    <w:rsid w:val="51B95E72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7463D4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F3CEE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DC54B2"/>
    <w:rsid w:val="5FE36389"/>
    <w:rsid w:val="5FE73EAF"/>
    <w:rsid w:val="601B0C3B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0DC7BAD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395B6F"/>
    <w:rsid w:val="63520053"/>
    <w:rsid w:val="63524BC7"/>
    <w:rsid w:val="63540E17"/>
    <w:rsid w:val="635B0C4F"/>
    <w:rsid w:val="636433B8"/>
    <w:rsid w:val="6390026F"/>
    <w:rsid w:val="6394008A"/>
    <w:rsid w:val="639D08D0"/>
    <w:rsid w:val="63A60C4C"/>
    <w:rsid w:val="63AE2B3B"/>
    <w:rsid w:val="63B1701A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D4F05"/>
    <w:rsid w:val="64CA54C0"/>
    <w:rsid w:val="64CA62E5"/>
    <w:rsid w:val="64E57549"/>
    <w:rsid w:val="64EE41B1"/>
    <w:rsid w:val="64F30BE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8121A"/>
    <w:rsid w:val="659D27A2"/>
    <w:rsid w:val="65AA72AA"/>
    <w:rsid w:val="65BA7C51"/>
    <w:rsid w:val="65BF3B3D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0D5D5F"/>
    <w:rsid w:val="672A14EE"/>
    <w:rsid w:val="672A527A"/>
    <w:rsid w:val="67333AE3"/>
    <w:rsid w:val="674468F2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194FFA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9211A"/>
    <w:rsid w:val="720E7981"/>
    <w:rsid w:val="721460D7"/>
    <w:rsid w:val="72424140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3634B1"/>
    <w:rsid w:val="7C3B2D2B"/>
    <w:rsid w:val="7C410F8F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6586D"/>
    <w:rsid w:val="7EAD3820"/>
    <w:rsid w:val="7EB87716"/>
    <w:rsid w:val="7ECF3FD1"/>
    <w:rsid w:val="7ED1289E"/>
    <w:rsid w:val="7ED33EC2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2018-12-28T15:05:25Z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