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w:t>
      </w:r>
      <w:r>
        <w:rPr>
          <w:rFonts w:hint="eastAsia" w:ascii="微软雅黑" w:hAnsi="微软雅黑" w:eastAsia="微软雅黑" w:cs="微软雅黑"/>
          <w:sz w:val="22"/>
          <w:lang w:val="en-US" w:eastAsia="zh-CN"/>
        </w:rPr>
        <w:t>7</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8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24.50</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创投开始反弹，抓住机会准备清仓</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22.79</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雏鹰农牧</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1.63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1.94</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贴着boll下轨缩量下跌，等待大盘反弹或者该股放量才有机会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3.84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911-1536542303635"/>
      <w:bookmarkEnd w:id="2"/>
      <w:bookmarkStart w:id="3" w:name="1227-1536542303637"/>
      <w:bookmarkEnd w:id="3"/>
      <w:bookmarkStart w:id="4" w:name="3677-1536542303641"/>
      <w:bookmarkEnd w:id="4"/>
      <w:bookmarkStart w:id="5" w:name="1096-1536542303639"/>
      <w:bookmarkEnd w:id="5"/>
      <w:bookmarkStart w:id="6" w:name="8416-1536542303643"/>
      <w:bookmarkEnd w:id="6"/>
      <w:bookmarkStart w:id="7" w:name="2151-1536542303645"/>
      <w:bookmarkEnd w:id="7"/>
      <w:r>
        <w:rPr>
          <w:rFonts w:ascii="微软雅黑" w:hAnsi="微软雅黑" w:eastAsia="微软雅黑" w:cs="微软雅黑"/>
          <w:b/>
          <w:sz w:val="22"/>
        </w:rPr>
        <w:t>今日回顾：</w:t>
      </w:r>
    </w:p>
    <w:p>
      <w:pPr>
        <w:spacing w:line="240" w:lineRule="auto"/>
        <w:rPr>
          <w:rFonts w:hint="eastAsia"/>
          <w:lang w:val="en-US" w:eastAsia="zh-CN"/>
        </w:rPr>
      </w:pPr>
      <w:r>
        <w:rPr>
          <w:rFonts w:hint="eastAsia"/>
          <w:lang w:val="en-US" w:eastAsia="zh-CN"/>
        </w:rPr>
        <w:t>今天涨停家数较上一交易日增加，两市93家涨停，跌停0家。成交量方面，沪市成交1455亿元，深市成交2018亿元，两市总成交额约为3473元，较上一交易日放量250亿元。盘面上，超导、特高压、军工等板块涨幅居前，两市仅银行收绿。</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lang w:val="en-US" w:eastAsia="zh-CN"/>
        </w:rPr>
      </w:pPr>
      <w:r>
        <w:rPr>
          <w:rFonts w:hint="eastAsia"/>
          <w:lang w:val="en-US" w:eastAsia="zh-CN"/>
        </w:rPr>
        <w:t>【宏观要闻】</w:t>
      </w:r>
    </w:p>
    <w:p>
      <w:pPr>
        <w:spacing w:line="240" w:lineRule="auto"/>
        <w:rPr>
          <w:rFonts w:hint="eastAsia"/>
          <w:lang w:val="en-US" w:eastAsia="zh-CN"/>
        </w:rPr>
      </w:pPr>
      <w:r>
        <w:rPr>
          <w:rFonts w:hint="eastAsia"/>
          <w:lang w:val="en-US" w:eastAsia="zh-CN"/>
        </w:rPr>
        <w:t>中共中央政治局常务委员会召开会议，中共中央总书记习近平主持会议</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会议强调，要始终坚持以习近平新时代中国特色社会主义思想为指导，深入领会党中央对重大形势的科学判断和对重大工作的决策部署，切实履职尽责，凝聚和激发各方面积极性、主动性、创造性，精准发力做好各项工作。</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周小川：货币政策仍有量化调整空间</w:t>
      </w:r>
    </w:p>
    <w:p>
      <w:pPr>
        <w:spacing w:line="240" w:lineRule="auto"/>
        <w:rPr>
          <w:rFonts w:hint="eastAsia"/>
          <w:lang w:val="en-US" w:eastAsia="zh-CN"/>
        </w:rPr>
      </w:pPr>
      <w:r>
        <w:rPr>
          <w:rFonts w:hint="eastAsia"/>
          <w:lang w:val="en-US" w:eastAsia="zh-CN"/>
        </w:rPr>
        <w:t>今日，在上海举行的第19届瑞银大中华研讨会中，中国人民银行原行长周小川于开场圆桌会议中表示，“我们的货币政策仍有量化调整的空间，将在维持物价稳定的基础上，继续支持经济增长、就业市场和投资。我们希望看到财政政策和货币政策更好地协调配合。此外，中国也正朝着完善汇率政策的方向发展。”</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银保监地方“三定”呼之欲出 多地省局党委班子陆续批复</w:t>
      </w:r>
    </w:p>
    <w:p>
      <w:pPr>
        <w:spacing w:line="240" w:lineRule="auto"/>
        <w:rPr>
          <w:rFonts w:hint="eastAsia"/>
          <w:lang w:val="en-US" w:eastAsia="zh-CN"/>
        </w:rPr>
      </w:pPr>
      <w:r>
        <w:rPr>
          <w:rFonts w:hint="eastAsia"/>
          <w:lang w:val="en-US" w:eastAsia="zh-CN"/>
        </w:rPr>
        <w:t>接近监管人士透露，近期地方银保监局陆续收到了多地省局党委班子的批复通知。未来监管办事处将改为支局，各省局已上报几套方案。银保监会派出机构的“三定”方案这个月将会落定，届时人行的人员划转应该会同步进行。</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中国去年12月末外汇储备报3.0727万亿美元</w:t>
      </w:r>
    </w:p>
    <w:p>
      <w:pPr>
        <w:spacing w:line="240" w:lineRule="auto"/>
        <w:rPr>
          <w:rFonts w:hint="eastAsia"/>
          <w:lang w:val="en-US" w:eastAsia="zh-CN"/>
        </w:rPr>
      </w:pPr>
      <w:r>
        <w:rPr>
          <w:rFonts w:hint="eastAsia"/>
          <w:lang w:val="en-US" w:eastAsia="zh-CN"/>
        </w:rPr>
        <w:t>中国去年12月末外汇储备报3.0727万亿美元，环比增110.03亿美元，预估3.0717万亿，前值3.0617亿美元。相比2017年末减少672.37亿美元。2月末黄金储备5956万盎司，自2016年10月以来首次上升。</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【资讯快报】</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财政部、税务总局相关部门正在研究个税房租专项扣除落地过程出现的新问题</w:t>
      </w:r>
    </w:p>
    <w:p>
      <w:pPr>
        <w:spacing w:line="240" w:lineRule="auto"/>
        <w:rPr>
          <w:rFonts w:hint="eastAsia"/>
          <w:lang w:val="en-US" w:eastAsia="zh-CN"/>
        </w:rPr>
      </w:pPr>
      <w:r>
        <w:rPr>
          <w:rFonts w:hint="eastAsia"/>
          <w:lang w:val="en-US" w:eastAsia="zh-CN"/>
        </w:rPr>
        <w:t>特斯拉超级工厂在临港正式开工建设</w:t>
      </w:r>
    </w:p>
    <w:p>
      <w:pPr>
        <w:spacing w:line="240" w:lineRule="auto"/>
        <w:rPr>
          <w:rFonts w:hint="eastAsia"/>
          <w:lang w:val="en-US" w:eastAsia="zh-CN"/>
        </w:rPr>
      </w:pPr>
      <w:r>
        <w:rPr>
          <w:rFonts w:hint="eastAsia"/>
          <w:lang w:val="en-US" w:eastAsia="zh-CN"/>
        </w:rPr>
        <w:t>阿里巴巴：马云从未转让和退出淘宝股份</w:t>
      </w:r>
    </w:p>
    <w:p>
      <w:pPr>
        <w:spacing w:line="240" w:lineRule="auto"/>
        <w:rPr>
          <w:rFonts w:hint="eastAsia"/>
          <w:lang w:val="en-US" w:eastAsia="zh-CN"/>
        </w:rPr>
      </w:pPr>
      <w:r>
        <w:rPr>
          <w:rFonts w:hint="eastAsia"/>
          <w:lang w:val="en-US" w:eastAsia="zh-CN"/>
        </w:rPr>
        <w:t>最高检决定依法对中船重工原党组副书记孙波逮捕</w:t>
      </w:r>
    </w:p>
    <w:p>
      <w:pPr>
        <w:spacing w:line="240" w:lineRule="auto"/>
        <w:rPr>
          <w:rFonts w:hint="eastAsia"/>
          <w:lang w:val="en-US" w:eastAsia="zh-CN"/>
        </w:rPr>
      </w:pPr>
      <w:r>
        <w:rPr>
          <w:rFonts w:hint="eastAsia"/>
          <w:lang w:val="en-US" w:eastAsia="zh-CN"/>
        </w:rPr>
        <w:t>财政部向社保基金会划转其所持太平集团股权的10%</w:t>
      </w:r>
    </w:p>
    <w:p>
      <w:pPr>
        <w:spacing w:line="240" w:lineRule="auto"/>
        <w:rPr>
          <w:rFonts w:hint="eastAsia"/>
          <w:lang w:val="en-US" w:eastAsia="zh-CN"/>
        </w:rPr>
      </w:pPr>
      <w:r>
        <w:rPr>
          <w:rFonts w:hint="eastAsia"/>
          <w:lang w:val="en-US" w:eastAsia="zh-CN"/>
        </w:rPr>
        <w:t>《疫苗管理法(草案)》征求意见：制售假劣疫苗处罚升级</w:t>
      </w:r>
    </w:p>
    <w:p>
      <w:pPr>
        <w:spacing w:line="240" w:lineRule="auto"/>
        <w:rPr>
          <w:rFonts w:hint="eastAsia"/>
          <w:lang w:val="en-US" w:eastAsia="zh-CN"/>
        </w:rPr>
      </w:pPr>
      <w:r>
        <w:rPr>
          <w:rFonts w:hint="eastAsia"/>
          <w:lang w:val="en-US" w:eastAsia="zh-CN"/>
        </w:rPr>
        <w:t>广东省市场监管局：权健在广东不能开展直销经营业务</w:t>
      </w:r>
    </w:p>
    <w:p>
      <w:pPr>
        <w:spacing w:line="240" w:lineRule="auto"/>
        <w:rPr>
          <w:rFonts w:hint="eastAsia"/>
          <w:lang w:val="en-US" w:eastAsia="zh-CN"/>
        </w:rPr>
      </w:pPr>
      <w:r>
        <w:rPr>
          <w:rFonts w:hint="eastAsia"/>
          <w:lang w:val="en-US" w:eastAsia="zh-CN"/>
        </w:rPr>
        <w:t>权威人士建议进一步研究商誉减值的会计处理</w:t>
      </w:r>
    </w:p>
    <w:p>
      <w:pPr>
        <w:spacing w:line="240" w:lineRule="auto"/>
        <w:rPr>
          <w:rFonts w:hint="eastAsia"/>
          <w:lang w:val="en-US" w:eastAsia="zh-CN"/>
        </w:rPr>
      </w:pPr>
      <w:r>
        <w:rPr>
          <w:rFonts w:hint="eastAsia"/>
          <w:lang w:val="en-US" w:eastAsia="zh-CN"/>
        </w:rPr>
        <w:t>上海：调整车船税和涉及企业用地成本的相关税收 预计2019年减税40亿</w:t>
      </w:r>
    </w:p>
    <w:p>
      <w:pPr>
        <w:spacing w:line="240" w:lineRule="auto"/>
        <w:rPr>
          <w:rFonts w:hint="eastAsia"/>
          <w:lang w:val="en-US" w:eastAsia="zh-CN"/>
        </w:rPr>
      </w:pPr>
      <w:r>
        <w:rPr>
          <w:rFonts w:hint="eastAsia"/>
          <w:lang w:val="en-US" w:eastAsia="zh-CN"/>
        </w:rPr>
        <w:t>天津开展专项整治行动：查扣违法保健品逾四万盒</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FF0000"/>
          <w:lang w:val="en-US" w:eastAsia="zh-CN"/>
        </w:rPr>
      </w:pPr>
      <w:r>
        <w:rPr>
          <w:rFonts w:hint="eastAsia"/>
          <w:strike w:val="0"/>
          <w:dstrike w:val="0"/>
          <w:color w:val="FF0000"/>
          <w:lang w:val="en-US" w:eastAsia="zh-CN"/>
        </w:rPr>
        <w:t>01月02日关注：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鲁信创投（+</w:t>
      </w:r>
      <w:r>
        <w:rPr>
          <w:rFonts w:hint="default"/>
          <w:strike w:val="0"/>
          <w:dstrike w:val="0"/>
          <w:color w:val="FF0000"/>
          <w:lang w:val="en-US" w:eastAsia="zh-CN"/>
        </w:rPr>
        <w:t>0.75</w:t>
      </w:r>
      <w:bookmarkStart w:id="14" w:name="_GoBack"/>
      <w:bookmarkEnd w:id="14"/>
      <w:r>
        <w:rPr>
          <w:rFonts w:hint="eastAsia"/>
          <w:strike w:val="0"/>
          <w:dstrike w:val="0"/>
          <w:color w:val="FF0000"/>
          <w:lang w:val="en-US" w:eastAsia="zh-CN"/>
        </w:rPr>
        <w:t>%）</w:t>
      </w:r>
    </w:p>
    <w:p>
      <w:pPr>
        <w:spacing w:line="240" w:lineRule="auto"/>
        <w:rPr>
          <w:rFonts w:hint="eastAsia"/>
          <w:strike w:val="0"/>
          <w:dstrike w:val="0"/>
          <w:color w:val="FF000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01月05日关注：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亨通光电</w:t>
      </w:r>
      <w:r>
        <w:rPr>
          <w:rFonts w:hint="default"/>
          <w:strike w:val="0"/>
          <w:dstrike w:val="0"/>
          <w:color w:val="FF0000"/>
          <w:lang w:val="en-US" w:eastAsia="zh-CN"/>
        </w:rPr>
        <w:t>(+4.33%)</w:t>
      </w:r>
      <w:r>
        <w:rPr>
          <w:rFonts w:hint="eastAsia"/>
          <w:strike w:val="0"/>
          <w:dstrike w:val="0"/>
          <w:color w:val="FF0000"/>
          <w:lang w:val="en-US" w:eastAsia="zh-CN"/>
        </w:rPr>
        <w:t>、四方股份</w:t>
      </w:r>
      <w:r>
        <w:rPr>
          <w:rFonts w:hint="default"/>
          <w:strike w:val="0"/>
          <w:dstrike w:val="0"/>
          <w:color w:val="FF0000"/>
          <w:lang w:val="en-US" w:eastAsia="zh-CN"/>
        </w:rPr>
        <w:t>(+8.23%)</w:t>
      </w:r>
      <w:r>
        <w:rPr>
          <w:rFonts w:hint="eastAsia"/>
          <w:strike w:val="0"/>
          <w:dstrike w:val="0"/>
          <w:color w:val="FF0000"/>
          <w:lang w:val="en-US" w:eastAsia="zh-CN"/>
        </w:rPr>
        <w:t>、思源电气</w:t>
      </w:r>
      <w:r>
        <w:rPr>
          <w:rFonts w:hint="default"/>
          <w:strike w:val="0"/>
          <w:dstrike w:val="0"/>
          <w:color w:val="FF0000"/>
          <w:lang w:val="en-US" w:eastAsia="zh-CN"/>
        </w:rPr>
        <w:t>(+4.30%)</w:t>
      </w:r>
      <w:r>
        <w:rPr>
          <w:rFonts w:hint="eastAsia"/>
          <w:strike w:val="0"/>
          <w:dstrike w:val="0"/>
          <w:color w:val="FF0000"/>
          <w:lang w:val="en-US" w:eastAsia="zh-CN"/>
        </w:rPr>
        <w:t>、通达股份</w:t>
      </w:r>
      <w:r>
        <w:rPr>
          <w:rFonts w:hint="default"/>
          <w:strike w:val="0"/>
          <w:dstrike w:val="0"/>
          <w:color w:val="FF0000"/>
          <w:lang w:val="en-US" w:eastAsia="zh-CN"/>
        </w:rPr>
        <w:t>(+3.73%)</w:t>
      </w:r>
      <w:r>
        <w:rPr>
          <w:rFonts w:hint="eastAsia"/>
          <w:strike w:val="0"/>
          <w:dstrike w:val="0"/>
          <w:color w:val="FF0000"/>
          <w:lang w:val="en-US" w:eastAsia="zh-CN"/>
        </w:rPr>
        <w:t>、电科院</w:t>
      </w:r>
      <w:r>
        <w:rPr>
          <w:rFonts w:hint="default"/>
          <w:strike w:val="0"/>
          <w:dstrike w:val="0"/>
          <w:color w:val="FF0000"/>
          <w:lang w:val="en-US" w:eastAsia="zh-CN"/>
        </w:rPr>
        <w:t>(+10.08%)</w:t>
      </w:r>
      <w:r>
        <w:rPr>
          <w:rFonts w:hint="eastAsia"/>
          <w:strike w:val="0"/>
          <w:dstrike w:val="0"/>
          <w:color w:val="FF0000"/>
          <w:lang w:val="en-US" w:eastAsia="zh-CN"/>
        </w:rPr>
        <w:t>、通光线缆</w:t>
      </w:r>
      <w:r>
        <w:rPr>
          <w:rFonts w:hint="default"/>
          <w:strike w:val="0"/>
          <w:dstrike w:val="0"/>
          <w:color w:val="FF0000"/>
          <w:lang w:val="en-US" w:eastAsia="zh-CN"/>
        </w:rPr>
        <w:t>(+3.61%)</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01月06日关注：</w:t>
      </w:r>
    </w:p>
    <w:p>
      <w:pPr>
        <w:spacing w:line="240" w:lineRule="auto"/>
        <w:rPr>
          <w:rFonts w:hint="eastAsia" w:eastAsiaTheme="minorEastAsia"/>
          <w:strike w:val="0"/>
          <w:dstrike w:val="0"/>
          <w:color w:val="auto"/>
          <w:lang w:val="en-US" w:eastAsia="zh-CN"/>
        </w:rPr>
      </w:pPr>
      <w:r>
        <w:rPr>
          <w:rFonts w:hint="eastAsia"/>
          <w:strike w:val="0"/>
          <w:dstrike w:val="0"/>
          <w:color w:val="auto"/>
          <w:lang w:val="en-US" w:eastAsia="zh-CN"/>
        </w:rPr>
        <w:t>亨通光电、四方股份、思源电气、通达股份、电科院、通光线缆</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5C2C3F"/>
    <w:rsid w:val="006764BA"/>
    <w:rsid w:val="00697FC3"/>
    <w:rsid w:val="00703C1E"/>
    <w:rsid w:val="00884F90"/>
    <w:rsid w:val="00901FB1"/>
    <w:rsid w:val="00A5753D"/>
    <w:rsid w:val="00C11855"/>
    <w:rsid w:val="00C3546C"/>
    <w:rsid w:val="00D3582F"/>
    <w:rsid w:val="00D575A0"/>
    <w:rsid w:val="00E66844"/>
    <w:rsid w:val="01056385"/>
    <w:rsid w:val="010767C2"/>
    <w:rsid w:val="01234802"/>
    <w:rsid w:val="013419F9"/>
    <w:rsid w:val="014F3B92"/>
    <w:rsid w:val="0152242D"/>
    <w:rsid w:val="0157057E"/>
    <w:rsid w:val="01647B7E"/>
    <w:rsid w:val="016B2B40"/>
    <w:rsid w:val="017B05B5"/>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5029FA"/>
    <w:rsid w:val="0563041F"/>
    <w:rsid w:val="056D0B52"/>
    <w:rsid w:val="05727E27"/>
    <w:rsid w:val="05755B3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8211EDF"/>
    <w:rsid w:val="082A4645"/>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C5D75"/>
    <w:rsid w:val="0E0A098D"/>
    <w:rsid w:val="0E3F4767"/>
    <w:rsid w:val="0E4052B3"/>
    <w:rsid w:val="0E43440D"/>
    <w:rsid w:val="0E4773A6"/>
    <w:rsid w:val="0E4B37F7"/>
    <w:rsid w:val="0E585FB5"/>
    <w:rsid w:val="0E6924DC"/>
    <w:rsid w:val="0E7F2FEB"/>
    <w:rsid w:val="0E8E7C5A"/>
    <w:rsid w:val="0E921C32"/>
    <w:rsid w:val="0E9F4838"/>
    <w:rsid w:val="0EA12E00"/>
    <w:rsid w:val="0EA52CBE"/>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CE4AC0"/>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B1563"/>
    <w:rsid w:val="10A342D1"/>
    <w:rsid w:val="10AD53AA"/>
    <w:rsid w:val="10C528E9"/>
    <w:rsid w:val="10C67B85"/>
    <w:rsid w:val="10E045BB"/>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8F6FB2"/>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242DB8"/>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C0280"/>
    <w:rsid w:val="1EB5423E"/>
    <w:rsid w:val="1EC44101"/>
    <w:rsid w:val="1EC801D8"/>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42738"/>
    <w:rsid w:val="21A57A73"/>
    <w:rsid w:val="21AD213B"/>
    <w:rsid w:val="21B17B55"/>
    <w:rsid w:val="21BA4D5A"/>
    <w:rsid w:val="21C61DDE"/>
    <w:rsid w:val="21C7795A"/>
    <w:rsid w:val="21DF73EA"/>
    <w:rsid w:val="21F9403C"/>
    <w:rsid w:val="220130C8"/>
    <w:rsid w:val="22165BA2"/>
    <w:rsid w:val="22190C7F"/>
    <w:rsid w:val="221F3F25"/>
    <w:rsid w:val="2231277B"/>
    <w:rsid w:val="22333AA1"/>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3E717ED"/>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8A6897"/>
    <w:rsid w:val="259C0B3C"/>
    <w:rsid w:val="25A0482C"/>
    <w:rsid w:val="25B0357A"/>
    <w:rsid w:val="25B14002"/>
    <w:rsid w:val="25B22DB8"/>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716CD"/>
    <w:rsid w:val="297E256D"/>
    <w:rsid w:val="29901482"/>
    <w:rsid w:val="29A55DDE"/>
    <w:rsid w:val="29C95D68"/>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1030BD"/>
    <w:rsid w:val="2B1066EC"/>
    <w:rsid w:val="2B151C54"/>
    <w:rsid w:val="2B2209DE"/>
    <w:rsid w:val="2B2560CD"/>
    <w:rsid w:val="2B3137EA"/>
    <w:rsid w:val="2B3570BB"/>
    <w:rsid w:val="2B406E52"/>
    <w:rsid w:val="2B613F8A"/>
    <w:rsid w:val="2B715FF9"/>
    <w:rsid w:val="2B7C2469"/>
    <w:rsid w:val="2B8022AD"/>
    <w:rsid w:val="2B861854"/>
    <w:rsid w:val="2B8667B4"/>
    <w:rsid w:val="2B8B0140"/>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260F68"/>
    <w:rsid w:val="2F331442"/>
    <w:rsid w:val="2F354053"/>
    <w:rsid w:val="2F3755CF"/>
    <w:rsid w:val="2F3921C7"/>
    <w:rsid w:val="2F3A36A2"/>
    <w:rsid w:val="2F3B0FB5"/>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7642F8"/>
    <w:rsid w:val="307C2FD5"/>
    <w:rsid w:val="308472ED"/>
    <w:rsid w:val="308927E7"/>
    <w:rsid w:val="30966796"/>
    <w:rsid w:val="30A83E2F"/>
    <w:rsid w:val="30BE10FD"/>
    <w:rsid w:val="30D165FB"/>
    <w:rsid w:val="30D22C4D"/>
    <w:rsid w:val="30D824CE"/>
    <w:rsid w:val="30E6693B"/>
    <w:rsid w:val="30E8604C"/>
    <w:rsid w:val="310E31BE"/>
    <w:rsid w:val="311B4918"/>
    <w:rsid w:val="3128318C"/>
    <w:rsid w:val="313919B9"/>
    <w:rsid w:val="313C6E33"/>
    <w:rsid w:val="31470308"/>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EA534E"/>
    <w:rsid w:val="32F03BAC"/>
    <w:rsid w:val="32F16CC0"/>
    <w:rsid w:val="32F77BC9"/>
    <w:rsid w:val="33061541"/>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A67B11"/>
    <w:rsid w:val="34B775B2"/>
    <w:rsid w:val="34CD6D56"/>
    <w:rsid w:val="34E038B6"/>
    <w:rsid w:val="34E2546A"/>
    <w:rsid w:val="34E30F0F"/>
    <w:rsid w:val="34F01269"/>
    <w:rsid w:val="35007CFC"/>
    <w:rsid w:val="351241C6"/>
    <w:rsid w:val="351F02B8"/>
    <w:rsid w:val="35212DC6"/>
    <w:rsid w:val="3543425C"/>
    <w:rsid w:val="35480EDF"/>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B021BE7"/>
    <w:rsid w:val="3B0E4A2A"/>
    <w:rsid w:val="3B107CAF"/>
    <w:rsid w:val="3B1C1E27"/>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33D16"/>
    <w:rsid w:val="3E1302F2"/>
    <w:rsid w:val="3E182749"/>
    <w:rsid w:val="3E341AE6"/>
    <w:rsid w:val="3E350DE2"/>
    <w:rsid w:val="3E51379D"/>
    <w:rsid w:val="3E721BE4"/>
    <w:rsid w:val="3E771964"/>
    <w:rsid w:val="3E795D46"/>
    <w:rsid w:val="3E933068"/>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251ED8"/>
    <w:rsid w:val="414D1A11"/>
    <w:rsid w:val="41541E79"/>
    <w:rsid w:val="415B268F"/>
    <w:rsid w:val="415E5EAB"/>
    <w:rsid w:val="417437BF"/>
    <w:rsid w:val="41775FA5"/>
    <w:rsid w:val="417C4044"/>
    <w:rsid w:val="41936260"/>
    <w:rsid w:val="419B28D7"/>
    <w:rsid w:val="41BB54B3"/>
    <w:rsid w:val="41C6087A"/>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1561E0"/>
    <w:rsid w:val="48603F11"/>
    <w:rsid w:val="48651EF8"/>
    <w:rsid w:val="486561CC"/>
    <w:rsid w:val="487333F6"/>
    <w:rsid w:val="48774DFE"/>
    <w:rsid w:val="487F0CDD"/>
    <w:rsid w:val="489A1C79"/>
    <w:rsid w:val="489F2CC3"/>
    <w:rsid w:val="48B03E9F"/>
    <w:rsid w:val="48B03FF9"/>
    <w:rsid w:val="48C76242"/>
    <w:rsid w:val="48CE01C1"/>
    <w:rsid w:val="48E00AC5"/>
    <w:rsid w:val="48E22322"/>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4469"/>
    <w:rsid w:val="51B95E72"/>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0C008E"/>
    <w:rsid w:val="56184336"/>
    <w:rsid w:val="561F31D3"/>
    <w:rsid w:val="563952B5"/>
    <w:rsid w:val="56485B8F"/>
    <w:rsid w:val="564B4A19"/>
    <w:rsid w:val="56636141"/>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DC54B2"/>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520053"/>
    <w:rsid w:val="63524BC7"/>
    <w:rsid w:val="63540E17"/>
    <w:rsid w:val="635B0C4F"/>
    <w:rsid w:val="636433B8"/>
    <w:rsid w:val="6390026F"/>
    <w:rsid w:val="6394008A"/>
    <w:rsid w:val="639D08D0"/>
    <w:rsid w:val="63A17EA1"/>
    <w:rsid w:val="63A60C4C"/>
    <w:rsid w:val="63AE2B3B"/>
    <w:rsid w:val="63B1701A"/>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5455F2"/>
    <w:rsid w:val="645B336F"/>
    <w:rsid w:val="647C41D5"/>
    <w:rsid w:val="64966C73"/>
    <w:rsid w:val="64993DC2"/>
    <w:rsid w:val="649D4F05"/>
    <w:rsid w:val="64CA54C0"/>
    <w:rsid w:val="64CA62E5"/>
    <w:rsid w:val="64D10291"/>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2A14EE"/>
    <w:rsid w:val="672A527A"/>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F060F9"/>
    <w:rsid w:val="6C15278F"/>
    <w:rsid w:val="6C1550EF"/>
    <w:rsid w:val="6C192C77"/>
    <w:rsid w:val="6C247FF2"/>
    <w:rsid w:val="6C5A37E8"/>
    <w:rsid w:val="6C680B1C"/>
    <w:rsid w:val="6C6830AB"/>
    <w:rsid w:val="6C6D1FC9"/>
    <w:rsid w:val="6C6F149B"/>
    <w:rsid w:val="6C770D38"/>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194FFA"/>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9211A"/>
    <w:rsid w:val="720E7981"/>
    <w:rsid w:val="721460D7"/>
    <w:rsid w:val="72424140"/>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B15260"/>
    <w:rsid w:val="75D13ED7"/>
    <w:rsid w:val="75D72DBF"/>
    <w:rsid w:val="75E354AB"/>
    <w:rsid w:val="75ED530E"/>
    <w:rsid w:val="75F25729"/>
    <w:rsid w:val="75FD0190"/>
    <w:rsid w:val="75FD6329"/>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9035A9"/>
    <w:rsid w:val="799C5E12"/>
    <w:rsid w:val="79A02A8D"/>
    <w:rsid w:val="79A53B2D"/>
    <w:rsid w:val="79AA4F75"/>
    <w:rsid w:val="79B81A90"/>
    <w:rsid w:val="79DA15F8"/>
    <w:rsid w:val="79E57F7C"/>
    <w:rsid w:val="79E6546C"/>
    <w:rsid w:val="79F8170D"/>
    <w:rsid w:val="79FC24F5"/>
    <w:rsid w:val="79FD14B8"/>
    <w:rsid w:val="7A096A08"/>
    <w:rsid w:val="7A2A11C4"/>
    <w:rsid w:val="7A2B2F1C"/>
    <w:rsid w:val="7A3A0843"/>
    <w:rsid w:val="7A3E6A0A"/>
    <w:rsid w:val="7A4447A6"/>
    <w:rsid w:val="7A444EC0"/>
    <w:rsid w:val="7A6A7C3A"/>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2019-01-07T15:21:40Z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