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10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8.73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涨停之后十字星，等待后市观望不急。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16.84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17.66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双叉之后下跌，今日有保本出逃机会，还是没有下决心卖出，错过！明日再看！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开始底部反弹加仓800股，持股等待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持仓2800股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1.57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贴着boll下轨缩量下跌，等待大盘反弹或者该股放量才有机会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网游版块开始底部反弹，持股等待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标准股份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4.95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6.10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汽车零部件版块，有超跌反弹妖股的可能性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浙江世宝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4.20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4.98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汽车零部件版块，有超跌反弹妖股的可能性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神剑股份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5.21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军工版块，水下买入没有成妖，成鬼了。明日止损。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-800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3677-1536542303641"/>
      <w:bookmarkEnd w:id="3"/>
      <w:bookmarkStart w:id="4" w:name="2911-1536542303635"/>
      <w:bookmarkEnd w:id="4"/>
      <w:bookmarkStart w:id="5" w:name="2151-1536542303645"/>
      <w:bookmarkEnd w:id="5"/>
      <w:bookmarkStart w:id="6" w:name="8416-1536542303643"/>
      <w:bookmarkEnd w:id="6"/>
      <w:bookmarkStart w:id="7" w:name="1096-1536542303639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有所减少，两市53家涨停；跌停5家。成交量方面，沪市成交1327亿元，深市成交1807亿元，两市总成交额约为3134元，较上一交易日缩量658亿元。盘面上，光伏、5G、特高压等板块涨幅居前，券商、超导、高铁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商务部：中米在京举行经贸问题副部级磋商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1月7日至9日，中米双方在北京举行经贸问题副部级磋商。双方积极落实重要共识，就共同关注的贸易问题和结构性问题进行了广泛、深入、细致的交流，增进了相互理解，为解决彼此关切问题奠定了基础。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双方谈妥了，现在就等发布联合公报了，米国那边还要走一点流程，所以会晚一些，我方这里保密工作是绝对到位的。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2018年12月CPI同比上涨1.9%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我国2018年12月CPI同比上涨1.9%，预期2.1%，前值2.2%。2018年居民消费价格(CPI)同比上涨2.1%，四年来首次站上2%。2018年12月PPI同比上涨0.9%，预期1.6%，前值2.7%。2018年工业生产者出厂价格（PPI）同比上涨3.5%。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4年来首次上2%，在数据无误的情况下，数据是偏好的，那么也就意味着社融数据也会偏好，那么国债压力就大了，对股市、外汇都是利好。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确保医保基金安全 不断提高人民群众医疗保障水平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完善统一的城乡居民基本医疗保险制度和大病保险制度，加强医保基金监管，做好统一经办管理和服务工作，确保医保基金安全，促进制度公平可持续，不断提高人民群众医疗保障水平。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任何国家的医疗、教育都不能太市场化，必须公正公开公平，这个是国之根本、国之命脉。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工信部部长：今后还有更大减税措施出台 将发放5G临时牌照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还有更大的面向制造业减税这个措施出台。除了减税以外，还鼓励各级政府，减少社企的收费，给企业减少外部的交易性成本，同时推进要素市场化改革。我国将进行5G商业推广，一些地区将会发放5G临时牌照，下半年还将用上诸如5G手机、5G iPad等商业产品。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国内公司其实很占优势了，5G基本都是被国内公司占据，再去国际市场上抢占一些，企业的效益应该都会不错。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中汽协：2019年汽车市场或仍将保持低速运行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2019年汽车市场仍将保持低速运行，全年销量或与2018年持平。根据师建华预测，2018年国内汽车全年产销量将达2800万辆。2019年，我国整体汽车销量或将与2018年持平。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大周期，需要一段时间的复苏，无论是经济的，还是汽车换手率的，总不能买个新车，用1年就换吧...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我国将于2019年实施地区生产总值统一核算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2019年底实施普查年度(即2018年)地区生产总值统一核算，2020年1月开始实施季度地区生产总值统一核算，实现地区生产总值汇总数与全国数在总量、速度和结构上的基本衔接。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反正怎么计算数据好看，就用什么数据，这是我们的特色。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中国网信办发布区块链信息服务管理规定 2月15日起施行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网信办发布《区块链信息服务管理规定》，自2019年2月15日起施行。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区块链本身还是个好东西，未来世界，人与人之间的信任基本要靠区块链完成。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01月02日关注：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鲁信创投（+</w:t>
      </w:r>
      <w:r>
        <w:rPr>
          <w:rFonts w:hint="default"/>
          <w:strike/>
          <w:dstrike w:val="0"/>
          <w:color w:val="FF0000"/>
          <w:lang w:val="en-US" w:eastAsia="zh-CN"/>
        </w:rPr>
        <w:t>0.75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01月05日关注：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亨通光电</w:t>
      </w:r>
      <w:r>
        <w:rPr>
          <w:rFonts w:hint="default"/>
          <w:strike/>
          <w:dstrike w:val="0"/>
          <w:color w:val="FF0000"/>
          <w:lang w:val="en-US" w:eastAsia="zh-CN"/>
        </w:rPr>
        <w:t>(+4.33%)</w:t>
      </w:r>
      <w:r>
        <w:rPr>
          <w:rFonts w:hint="eastAsia"/>
          <w:strike/>
          <w:dstrike w:val="0"/>
          <w:color w:val="FF0000"/>
          <w:lang w:val="en-US" w:eastAsia="zh-CN"/>
        </w:rPr>
        <w:t>、四方股份</w:t>
      </w:r>
      <w:r>
        <w:rPr>
          <w:rFonts w:hint="default"/>
          <w:strike/>
          <w:dstrike w:val="0"/>
          <w:color w:val="FF0000"/>
          <w:lang w:val="en-US" w:eastAsia="zh-CN"/>
        </w:rPr>
        <w:t>(+8.23%)</w:t>
      </w:r>
      <w:r>
        <w:rPr>
          <w:rFonts w:hint="eastAsia"/>
          <w:strike/>
          <w:dstrike w:val="0"/>
          <w:color w:val="FF0000"/>
          <w:lang w:val="en-US" w:eastAsia="zh-CN"/>
        </w:rPr>
        <w:t>、思源电气</w:t>
      </w:r>
      <w:r>
        <w:rPr>
          <w:rFonts w:hint="default"/>
          <w:strike/>
          <w:dstrike w:val="0"/>
          <w:color w:val="FF0000"/>
          <w:lang w:val="en-US" w:eastAsia="zh-CN"/>
        </w:rPr>
        <w:t>(+4.30%)</w:t>
      </w:r>
      <w:r>
        <w:rPr>
          <w:rFonts w:hint="eastAsia"/>
          <w:strike/>
          <w:dstrike w:val="0"/>
          <w:color w:val="FF0000"/>
          <w:lang w:val="en-US" w:eastAsia="zh-CN"/>
        </w:rPr>
        <w:t>、通达股份</w:t>
      </w:r>
      <w:r>
        <w:rPr>
          <w:rFonts w:hint="default"/>
          <w:strike/>
          <w:dstrike w:val="0"/>
          <w:color w:val="FF0000"/>
          <w:lang w:val="en-US" w:eastAsia="zh-CN"/>
        </w:rPr>
        <w:t>(+3.73%)</w:t>
      </w:r>
      <w:r>
        <w:rPr>
          <w:rFonts w:hint="eastAsia"/>
          <w:strike/>
          <w:dstrike w:val="0"/>
          <w:color w:val="FF0000"/>
          <w:lang w:val="en-US" w:eastAsia="zh-CN"/>
        </w:rPr>
        <w:t>、电科院</w:t>
      </w:r>
      <w:r>
        <w:rPr>
          <w:rFonts w:hint="default"/>
          <w:strike/>
          <w:dstrike w:val="0"/>
          <w:color w:val="FF0000"/>
          <w:lang w:val="en-US" w:eastAsia="zh-CN"/>
        </w:rPr>
        <w:t>(+10.08%)</w:t>
      </w:r>
      <w:r>
        <w:rPr>
          <w:rFonts w:hint="eastAsia"/>
          <w:strike/>
          <w:dstrike w:val="0"/>
          <w:color w:val="FF0000"/>
          <w:lang w:val="en-US" w:eastAsia="zh-CN"/>
        </w:rPr>
        <w:t>、通光线缆</w:t>
      </w:r>
      <w:r>
        <w:rPr>
          <w:rFonts w:hint="default"/>
          <w:strike/>
          <w:dstrike w:val="0"/>
          <w:color w:val="FF0000"/>
          <w:lang w:val="en-US" w:eastAsia="zh-CN"/>
        </w:rPr>
        <w:t>(+3.61%)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01月06日关注：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亨通光电（-0.23%）、四方股份（-4.12%）、思源电气（-0.73%）、通达股份（-6.37）、电科院（-2.75%）</w:t>
      </w:r>
      <w:r>
        <w:rPr>
          <w:rFonts w:hint="eastAsia"/>
          <w:strike/>
          <w:dstrike w:val="0"/>
          <w:color w:val="auto"/>
          <w:lang w:val="en-US" w:eastAsia="zh-CN"/>
        </w:rPr>
        <w:t>、通光线缆（+6.50%）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月10日关注：</w:t>
      </w:r>
    </w:p>
    <w:p>
      <w:pPr>
        <w:spacing w:line="240" w:lineRule="auto"/>
        <w:rPr>
          <w:rFonts w:hint="default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奋达科技（+10.04%）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 w:val="0"/>
          <w:dstrike w:val="0"/>
          <w:color w:val="00B050"/>
          <w:lang w:val="en-US" w:eastAsia="zh-CN"/>
        </w:rPr>
        <w:t>浙江世宝（-3.52%）、金财互联</w:t>
      </w:r>
      <w:r>
        <w:rPr>
          <w:rFonts w:hint="default"/>
          <w:strike w:val="0"/>
          <w:dstrike w:val="0"/>
          <w:color w:val="00B050"/>
          <w:lang w:val="en-US" w:eastAsia="zh-CN"/>
        </w:rPr>
        <w:t>(-2.79%)</w:t>
      </w:r>
      <w:r>
        <w:rPr>
          <w:rFonts w:hint="eastAsia"/>
          <w:strike w:val="0"/>
          <w:dstrike w:val="0"/>
          <w:color w:val="00B050"/>
          <w:lang w:val="en-US" w:eastAsia="zh-CN"/>
        </w:rPr>
        <w:t>、春兰股份</w:t>
      </w:r>
      <w:r>
        <w:rPr>
          <w:rFonts w:hint="default"/>
          <w:strike w:val="0"/>
          <w:dstrike w:val="0"/>
          <w:color w:val="00B050"/>
          <w:lang w:val="en-US" w:eastAsia="zh-CN"/>
        </w:rPr>
        <w:t>(-3.93%)</w:t>
      </w:r>
      <w:r>
        <w:rPr>
          <w:rFonts w:hint="eastAsia"/>
          <w:strike w:val="0"/>
          <w:dstrike w:val="0"/>
          <w:color w:val="00B050"/>
          <w:lang w:val="en-US" w:eastAsia="zh-CN"/>
        </w:rPr>
        <w:t>、士兰微</w:t>
      </w:r>
      <w:r>
        <w:rPr>
          <w:rFonts w:hint="default"/>
          <w:strike w:val="0"/>
          <w:dstrike w:val="0"/>
          <w:color w:val="00B050"/>
          <w:lang w:val="en-US" w:eastAsia="zh-CN"/>
        </w:rPr>
        <w:t>(-1.52%)</w:t>
      </w:r>
      <w:bookmarkStart w:id="14" w:name="_GoBack"/>
      <w:bookmarkEnd w:id="14"/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</w:t>
      </w:r>
      <w:r>
        <w:rPr>
          <w:rFonts w:hint="default"/>
          <w:strike w:val="0"/>
          <w:dstrike w:val="0"/>
          <w:color w:val="auto"/>
          <w:lang w:val="en-US" w:eastAsia="zh-CN"/>
        </w:rPr>
        <w:t>11</w:t>
      </w:r>
      <w:r>
        <w:rPr>
          <w:rFonts w:hint="eastAsia"/>
          <w:strike w:val="0"/>
          <w:dstrike w:val="0"/>
          <w:color w:val="auto"/>
          <w:lang w:val="en-US" w:eastAsia="zh-CN"/>
        </w:rPr>
        <w:t>日关注：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标准股份、向日葵、新疆交建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234802"/>
    <w:rsid w:val="013419F9"/>
    <w:rsid w:val="014F3B92"/>
    <w:rsid w:val="0152242D"/>
    <w:rsid w:val="0157057E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F2FEB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D70AE7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716CD"/>
    <w:rsid w:val="297E256D"/>
    <w:rsid w:val="29901482"/>
    <w:rsid w:val="29A55DDE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022AD"/>
    <w:rsid w:val="2B861854"/>
    <w:rsid w:val="2B8667B4"/>
    <w:rsid w:val="2B8B0140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7642F8"/>
    <w:rsid w:val="307C2FD5"/>
    <w:rsid w:val="308472ED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876E3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93A83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B021BE7"/>
    <w:rsid w:val="3B0E4A2A"/>
    <w:rsid w:val="3B107CAF"/>
    <w:rsid w:val="3B1C1E27"/>
    <w:rsid w:val="3B2421EA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714B07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CE01C1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DC54B2"/>
    <w:rsid w:val="5FE014D1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93DC2"/>
    <w:rsid w:val="649D4F05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4C5E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3071F1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40439"/>
    <w:rsid w:val="6EAD196C"/>
    <w:rsid w:val="6EB0714F"/>
    <w:rsid w:val="6EB7160A"/>
    <w:rsid w:val="6EBC4C9D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424140"/>
    <w:rsid w:val="72674761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2019-01-10T15:31:36Z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