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-2</w:t>
      </w:r>
      <w:r>
        <w:rPr>
          <w:rFonts w:hint="default" w:ascii="微软雅黑" w:hAnsi="微软雅黑" w:eastAsia="微软雅黑" w:cs="微软雅黑"/>
          <w:sz w:val="22"/>
          <w:lang w:val="en-US" w:eastAsia="zh-CN"/>
        </w:rPr>
        <w:t>3</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8.73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9.77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涨停之后双叉，下周可以考虑加仓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21.42</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22.36</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开始底部反弹加仓800股，持股等待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持仓2800股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3.</w:t>
            </w:r>
            <w:r>
              <w:rPr>
                <w:rFonts w:hint="default" w:asciiTheme="minorEastAsia" w:hAnsiTheme="minorEastAsia" w:cstheme="minorEastAsia"/>
                <w:b w:val="0"/>
                <w:i w:val="0"/>
                <w:strike/>
                <w:dstrike w:val="0"/>
                <w:color w:val="auto"/>
                <w:kern w:val="0"/>
                <w:sz w:val="21"/>
                <w:szCs w:val="21"/>
                <w:u w:val="none"/>
                <w:lang w:val="en-US" w:eastAsia="zh-CN" w:bidi="ar"/>
              </w:rPr>
              <w:t>58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default" w:asciiTheme="minorEastAsia" w:hAnsiTheme="minorEastAsia" w:cstheme="minorEastAsia"/>
                <w:b w:val="0"/>
                <w:i w:val="0"/>
                <w:strike/>
                <w:dstrike w:val="0"/>
                <w:color w:val="auto"/>
                <w:kern w:val="0"/>
                <w:sz w:val="21"/>
                <w:szCs w:val="21"/>
                <w:u w:val="none"/>
                <w:lang w:val="en-US" w:eastAsia="zh-CN" w:bidi="ar"/>
              </w:rPr>
              <w:t>3.67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网游版块开始底部反弹，持股等待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雪峰股份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4.01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4.99</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明日考虑止损。没有下手，波动很小还想再等。</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凯乐科技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18.03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20.46</w:t>
            </w:r>
          </w:p>
        </w:tc>
        <w:tc>
          <w:tcPr>
            <w:tcW w:w="3841" w:type="dxa"/>
            <w:vAlign w:val="top"/>
          </w:tcPr>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下跌充分</w:t>
            </w:r>
          </w:p>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底部筹码集中</w:t>
            </w:r>
          </w:p>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有过恐慌性杀跌，底部头肩形态</w:t>
            </w:r>
          </w:p>
          <w:p>
            <w:pPr>
              <w:keepNext w:val="0"/>
              <w:keepLines w:val="0"/>
              <w:widowControl/>
              <w:numPr>
                <w:ilvl w:val="0"/>
                <w:numId w:val="1"/>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概念很多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持仓100股，买入试盘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平煤股份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3.59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4.01</w:t>
            </w:r>
          </w:p>
        </w:tc>
        <w:tc>
          <w:tcPr>
            <w:tcW w:w="3841" w:type="dxa"/>
            <w:vAlign w:val="top"/>
          </w:tcPr>
          <w:p>
            <w:pPr>
              <w:keepNext w:val="0"/>
              <w:keepLines w:val="0"/>
              <w:widowControl/>
              <w:numPr>
                <w:ilvl w:val="0"/>
                <w:numId w:val="2"/>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煤炭板块多个股票双叉放量</w:t>
            </w:r>
          </w:p>
          <w:p>
            <w:pPr>
              <w:keepNext w:val="0"/>
              <w:keepLines w:val="0"/>
              <w:widowControl/>
              <w:numPr>
                <w:ilvl w:val="0"/>
                <w:numId w:val="2"/>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下跌较深，价格较低，底部形成</w:t>
            </w:r>
          </w:p>
          <w:p>
            <w:pPr>
              <w:keepNext w:val="0"/>
              <w:keepLines w:val="0"/>
              <w:widowControl/>
              <w:numPr>
                <w:ilvl w:val="0"/>
                <w:numId w:val="2"/>
              </w:numPr>
              <w:suppressLineNumbers w:val="0"/>
              <w:jc w:val="left"/>
              <w:textAlignment w:val="top"/>
              <w:rPr>
                <w:rFonts w:hint="eastAsia" w:asciiTheme="minorEastAsia" w:hAnsiTheme="minorEastAsia" w:cstheme="minorEastAsia"/>
                <w:strike/>
                <w:dstrike w:val="0"/>
                <w:color w:val="auto"/>
                <w:sz w:val="21"/>
                <w:szCs w:val="21"/>
                <w:lang w:val="en-US" w:eastAsia="zh-CN"/>
              </w:rPr>
            </w:pPr>
            <w:r>
              <w:rPr>
                <w:rFonts w:hint="eastAsia" w:asciiTheme="minorEastAsia" w:hAnsiTheme="minorEastAsia" w:cstheme="minorEastAsia"/>
                <w:strike/>
                <w:dstrike w:val="0"/>
                <w:color w:val="auto"/>
                <w:sz w:val="21"/>
                <w:szCs w:val="21"/>
                <w:lang w:val="en-US" w:eastAsia="zh-CN"/>
              </w:rPr>
              <w:t>筹码集中，pb较低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auto"/>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持仓400股</w:t>
            </w:r>
          </w:p>
        </w:tc>
      </w:tr>
    </w:tbl>
    <w:p>
      <w:pPr>
        <w:spacing w:line="240" w:lineRule="auto"/>
        <w:rPr>
          <w:lang w:val="en-US"/>
        </w:rPr>
      </w:pPr>
      <w:bookmarkStart w:id="0" w:name="7380-1536542303605"/>
      <w:bookmarkEnd w:id="0"/>
      <w:bookmarkStart w:id="1" w:name="9057-1536542303601"/>
      <w:bookmarkEnd w:id="1"/>
    </w:p>
    <w:p>
      <w:pPr>
        <w:spacing w:line="240" w:lineRule="auto"/>
        <w:rPr>
          <w:rFonts w:hint="eastAsia"/>
          <w:lang w:val="en-US" w:eastAsia="zh-CN"/>
        </w:rPr>
      </w:pPr>
      <w:r>
        <w:rPr>
          <w:rFonts w:hint="eastAsia"/>
          <w:lang w:val="en-US" w:eastAsia="zh-CN"/>
        </w:rPr>
        <w:t xml:space="preserve"> </w:t>
      </w:r>
      <w:bookmarkStart w:id="14" w:name="_GoBack"/>
      <w:bookmarkEnd w:id="14"/>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1096-1536542303639"/>
      <w:bookmarkEnd w:id="2"/>
      <w:bookmarkStart w:id="3" w:name="2151-1536542303645"/>
      <w:bookmarkEnd w:id="3"/>
      <w:bookmarkStart w:id="4" w:name="2911-1536542303635"/>
      <w:bookmarkEnd w:id="4"/>
      <w:bookmarkStart w:id="5" w:name="3677-1536542303641"/>
      <w:bookmarkEnd w:id="5"/>
      <w:bookmarkStart w:id="6" w:name="8416-1536542303643"/>
      <w:bookmarkEnd w:id="6"/>
      <w:bookmarkStart w:id="7" w:name="1227-1536542303637"/>
      <w:bookmarkEnd w:id="7"/>
      <w:r>
        <w:rPr>
          <w:rFonts w:ascii="微软雅黑" w:hAnsi="微软雅黑" w:eastAsia="微软雅黑" w:cs="微软雅黑"/>
          <w:b/>
          <w:sz w:val="22"/>
        </w:rPr>
        <w:t>今日回顾：</w:t>
      </w:r>
    </w:p>
    <w:p>
      <w:pPr>
        <w:spacing w:line="240" w:lineRule="auto"/>
        <w:rPr>
          <w:rFonts w:hint="eastAsia" w:ascii="微软雅黑" w:hAnsi="微软雅黑" w:eastAsia="微软雅黑" w:cs="微软雅黑"/>
          <w:b w:val="0"/>
          <w:bCs/>
          <w:sz w:val="22"/>
          <w:lang w:val="en-US" w:eastAsia="zh-CN"/>
        </w:rPr>
      </w:pP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rPr>
      </w:pPr>
      <w:r>
        <w:rPr>
          <w:rFonts w:hint="eastAsia"/>
        </w:rPr>
        <w:t>【宏观新闻】</w:t>
      </w:r>
    </w:p>
    <w:p>
      <w:pPr>
        <w:spacing w:line="240" w:lineRule="auto"/>
        <w:rPr>
          <w:rFonts w:hint="eastAsia"/>
        </w:rPr>
      </w:pPr>
    </w:p>
    <w:p>
      <w:pPr>
        <w:spacing w:line="240" w:lineRule="auto"/>
        <w:rPr>
          <w:rFonts w:hint="eastAsia"/>
          <w:color w:val="FF0000"/>
        </w:rPr>
      </w:pPr>
      <w:r>
        <w:rPr>
          <w:rFonts w:hint="eastAsia"/>
          <w:color w:val="FF0000"/>
        </w:rPr>
        <w:t>中央深改委通过设立上交所科创板并试点注册制总体实施方案</w:t>
      </w:r>
    </w:p>
    <w:p>
      <w:pPr>
        <w:spacing w:line="240" w:lineRule="auto"/>
        <w:rPr>
          <w:rFonts w:hint="eastAsia"/>
        </w:rPr>
      </w:pPr>
    </w:p>
    <w:p>
      <w:pPr>
        <w:spacing w:line="240" w:lineRule="auto"/>
        <w:rPr>
          <w:rFonts w:hint="eastAsia"/>
        </w:rPr>
      </w:pPr>
      <w:r>
        <w:rPr>
          <w:rFonts w:hint="eastAsia"/>
        </w:rPr>
        <w:t>习近平1月23日下午主持召开中央全面深化改革委员会第六次会议并发表重要讲话。会议审议通过了《在上海证券交易所设立科创板并试点注册制总体实施方案》、《关于在上海证券交易所设立科创板并试点注册制的实施意见》。会议指出，在上海证券交易所设立科创板并试点注册制是实施创新驱动发展战略、深化资本市场改革的重要举措。要增强资本市场对科技创新企业的包容性，着力支持关键核心技术创新，提高服务实体经济能力。要稳步试点注册制，统筹推进发行、上市、信息披露、交易、退市等基础制度改革，建立健全以信息披露为中心的股票发行上市制度。</w:t>
      </w:r>
    </w:p>
    <w:p>
      <w:pPr>
        <w:spacing w:line="240" w:lineRule="auto"/>
        <w:rPr>
          <w:rFonts w:hint="eastAsia"/>
        </w:rPr>
      </w:pPr>
    </w:p>
    <w:p>
      <w:pPr>
        <w:spacing w:line="240" w:lineRule="auto"/>
        <w:rPr>
          <w:rFonts w:hint="eastAsia"/>
        </w:rPr>
      </w:pPr>
    </w:p>
    <w:p>
      <w:pPr>
        <w:spacing w:line="240" w:lineRule="auto"/>
        <w:rPr>
          <w:rFonts w:hint="eastAsia"/>
        </w:rPr>
      </w:pPr>
      <w:r>
        <w:rPr>
          <w:rFonts w:hint="eastAsia"/>
        </w:rPr>
        <w:t>中国证券投资基金业协会：减免私募创投机构等会员2019年年会费3000万元</w:t>
      </w:r>
    </w:p>
    <w:p>
      <w:pPr>
        <w:spacing w:line="240" w:lineRule="auto"/>
        <w:rPr>
          <w:rFonts w:hint="eastAsia"/>
        </w:rPr>
      </w:pPr>
    </w:p>
    <w:p>
      <w:pPr>
        <w:spacing w:line="240" w:lineRule="auto"/>
        <w:rPr>
          <w:rFonts w:hint="eastAsia"/>
        </w:rPr>
      </w:pPr>
      <w:r>
        <w:rPr>
          <w:rFonts w:hint="eastAsia"/>
        </w:rPr>
        <w:t>23日，中国证券投资基金业协会第二届理事会第六次会议暨第二届监事会第六次会议召开。会议透露，截至2018年底，在协会自律管理下的公募基金管理公司及其子公司、证券公司、期货公司、私募基金管理机构管理的资产管理业务总规模达50.5万亿元。会议决定，减免私募创投机构、期货公司及其子公司和地方协会，以及公募基金管理公司子公司、证券公司私募基金子公司等会员2019年年会费3000万元。</w:t>
      </w:r>
    </w:p>
    <w:p>
      <w:pPr>
        <w:spacing w:line="240" w:lineRule="auto"/>
        <w:rPr>
          <w:rFonts w:hint="eastAsia"/>
        </w:rPr>
      </w:pPr>
    </w:p>
    <w:p>
      <w:pPr>
        <w:spacing w:line="240" w:lineRule="auto"/>
        <w:rPr>
          <w:rFonts w:hint="eastAsia"/>
        </w:rPr>
      </w:pPr>
    </w:p>
    <w:p>
      <w:pPr>
        <w:spacing w:line="240" w:lineRule="auto"/>
        <w:rPr>
          <w:rFonts w:hint="eastAsia"/>
        </w:rPr>
      </w:pPr>
      <w:r>
        <w:rPr>
          <w:rFonts w:hint="eastAsia"/>
        </w:rPr>
        <w:t>习近平：对标重要领域和关键环节改革 继续啃硬骨头确保干一件成一件</w:t>
      </w:r>
    </w:p>
    <w:p>
      <w:pPr>
        <w:spacing w:line="240" w:lineRule="auto"/>
        <w:rPr>
          <w:rFonts w:hint="eastAsia"/>
        </w:rPr>
      </w:pPr>
    </w:p>
    <w:p>
      <w:pPr>
        <w:spacing w:line="240" w:lineRule="auto"/>
        <w:rPr>
          <w:rFonts w:hint="eastAsia"/>
        </w:rPr>
      </w:pPr>
      <w:r>
        <w:rPr>
          <w:rFonts w:hint="eastAsia"/>
        </w:rPr>
        <w:t>习近平1月23日下午主持召开中央全面深化改革委员会第六次会议并发表重要讲话。他强调，要对标到2020年在重要领域和关键环节改革上取得决定性成果，继续打硬仗，啃硬骨头，确保干一件成一件，为全面完成党的十八届三中全会部署的改革任务打下决定性基础。</w:t>
      </w:r>
    </w:p>
    <w:p>
      <w:pPr>
        <w:spacing w:line="240" w:lineRule="auto"/>
        <w:rPr>
          <w:rFonts w:hint="eastAsia"/>
        </w:rPr>
      </w:pPr>
    </w:p>
    <w:p>
      <w:pPr>
        <w:spacing w:line="240" w:lineRule="auto"/>
        <w:rPr>
          <w:rFonts w:hint="eastAsia"/>
        </w:rPr>
      </w:pPr>
    </w:p>
    <w:p>
      <w:pPr>
        <w:spacing w:line="240" w:lineRule="auto"/>
        <w:rPr>
          <w:rFonts w:hint="eastAsia"/>
        </w:rPr>
      </w:pPr>
      <w:r>
        <w:rPr>
          <w:rFonts w:hint="eastAsia"/>
        </w:rPr>
        <w:t>【资讯快报】</w:t>
      </w:r>
    </w:p>
    <w:p>
      <w:pPr>
        <w:spacing w:line="240" w:lineRule="auto"/>
        <w:rPr>
          <w:rFonts w:hint="eastAsia"/>
        </w:rPr>
      </w:pPr>
    </w:p>
    <w:p>
      <w:pPr>
        <w:spacing w:line="240" w:lineRule="auto"/>
        <w:rPr>
          <w:rFonts w:hint="eastAsia"/>
          <w:color w:val="FF0000"/>
        </w:rPr>
      </w:pPr>
      <w:r>
        <w:rPr>
          <w:rFonts w:hint="eastAsia"/>
          <w:color w:val="FF0000"/>
        </w:rPr>
        <w:t>2019年海南将编制出台旅游文化体育方面若干规划 赛马运动在列</w:t>
      </w:r>
    </w:p>
    <w:p>
      <w:pPr>
        <w:spacing w:line="240" w:lineRule="auto"/>
        <w:rPr>
          <w:rFonts w:hint="eastAsia"/>
        </w:rPr>
      </w:pPr>
    </w:p>
    <w:p>
      <w:pPr>
        <w:spacing w:line="240" w:lineRule="auto"/>
        <w:rPr>
          <w:rFonts w:hint="eastAsia"/>
        </w:rPr>
      </w:pPr>
      <w:r>
        <w:rPr>
          <w:rFonts w:hint="eastAsia"/>
        </w:rPr>
        <w:t>罗永浩卸任锤子科技上海子公司法定代表人</w:t>
      </w:r>
    </w:p>
    <w:p>
      <w:pPr>
        <w:spacing w:line="240" w:lineRule="auto"/>
        <w:rPr>
          <w:rFonts w:hint="eastAsia"/>
        </w:rPr>
      </w:pPr>
    </w:p>
    <w:p>
      <w:pPr>
        <w:spacing w:line="240" w:lineRule="auto"/>
        <w:rPr>
          <w:rFonts w:hint="eastAsia"/>
        </w:rPr>
      </w:pPr>
      <w:r>
        <w:rPr>
          <w:rFonts w:hint="eastAsia"/>
        </w:rPr>
        <w:t>中国证券业协会：投行应合理确定价格 形成公平、有序的价格机制</w:t>
      </w:r>
    </w:p>
    <w:p>
      <w:pPr>
        <w:spacing w:line="240" w:lineRule="auto"/>
        <w:rPr>
          <w:rFonts w:hint="eastAsia"/>
        </w:rPr>
      </w:pPr>
    </w:p>
    <w:p>
      <w:pPr>
        <w:spacing w:line="240" w:lineRule="auto"/>
        <w:rPr>
          <w:rFonts w:hint="eastAsia"/>
        </w:rPr>
      </w:pPr>
      <w:r>
        <w:rPr>
          <w:rFonts w:hint="eastAsia"/>
        </w:rPr>
        <w:t>证监会披露四份行政处罚决定书 均涉操纵ETF</w:t>
      </w:r>
    </w:p>
    <w:p>
      <w:pPr>
        <w:spacing w:line="240" w:lineRule="auto"/>
        <w:rPr>
          <w:rFonts w:hint="eastAsia"/>
        </w:rPr>
      </w:pPr>
    </w:p>
    <w:p>
      <w:pPr>
        <w:spacing w:line="240" w:lineRule="auto"/>
        <w:rPr>
          <w:rFonts w:hint="eastAsia"/>
        </w:rPr>
      </w:pPr>
      <w:r>
        <w:rPr>
          <w:rFonts w:hint="eastAsia"/>
        </w:rPr>
        <w:t>国资委将积极稳妥推进装备制造、船舶、化工等领域企业战略性重组</w:t>
      </w:r>
    </w:p>
    <w:p>
      <w:pPr>
        <w:spacing w:line="240" w:lineRule="auto"/>
        <w:rPr>
          <w:rFonts w:hint="eastAsia"/>
        </w:rPr>
      </w:pPr>
    </w:p>
    <w:p>
      <w:pPr>
        <w:spacing w:line="240" w:lineRule="auto"/>
        <w:rPr>
          <w:rFonts w:hint="eastAsia"/>
        </w:rPr>
      </w:pPr>
      <w:r>
        <w:rPr>
          <w:rFonts w:hint="eastAsia"/>
        </w:rPr>
        <w:t>肖亚庆回应联合石化巨亏：防止此类事件再发生是下一步重点</w:t>
      </w:r>
    </w:p>
    <w:p>
      <w:pPr>
        <w:spacing w:line="240" w:lineRule="auto"/>
        <w:rPr>
          <w:rFonts w:hint="eastAsia"/>
        </w:rPr>
      </w:pPr>
    </w:p>
    <w:p>
      <w:pPr>
        <w:spacing w:line="240" w:lineRule="auto"/>
        <w:rPr>
          <w:rFonts w:hint="eastAsia"/>
        </w:rPr>
      </w:pPr>
      <w:r>
        <w:rPr>
          <w:rFonts w:hint="eastAsia"/>
        </w:rPr>
        <w:t>浙江省将开展为期半年的保健品市场乱象专项整治行动</w:t>
      </w:r>
    </w:p>
    <w:p>
      <w:pPr>
        <w:spacing w:line="240" w:lineRule="auto"/>
        <w:rPr>
          <w:rFonts w:hint="eastAsia"/>
        </w:rPr>
      </w:pPr>
    </w:p>
    <w:p>
      <w:pPr>
        <w:spacing w:line="240" w:lineRule="auto"/>
        <w:rPr>
          <w:rFonts w:hint="eastAsia"/>
        </w:rPr>
      </w:pPr>
      <w:r>
        <w:rPr>
          <w:rFonts w:hint="eastAsia"/>
        </w:rPr>
        <w:t>深圳证监局公示周六福珠宝等多家企业接受上市辅导</w:t>
      </w:r>
    </w:p>
    <w:p>
      <w:pPr>
        <w:spacing w:line="240" w:lineRule="auto"/>
        <w:rPr>
          <w:rFonts w:hint="eastAsia"/>
        </w:rPr>
      </w:pPr>
    </w:p>
    <w:p>
      <w:pPr>
        <w:spacing w:line="240" w:lineRule="auto"/>
        <w:rPr>
          <w:rFonts w:hint="eastAsia"/>
        </w:rPr>
      </w:pPr>
      <w:r>
        <w:rPr>
          <w:rFonts w:hint="eastAsia"/>
        </w:rPr>
        <w:t>2018年四季度基金持仓银行比例略降 处于“超低配”状态</w:t>
      </w:r>
    </w:p>
    <w:p>
      <w:pPr>
        <w:spacing w:line="240" w:lineRule="auto"/>
        <w:rPr>
          <w:rFonts w:hint="eastAsia"/>
        </w:rPr>
      </w:pPr>
    </w:p>
    <w:p>
      <w:pPr>
        <w:spacing w:line="240" w:lineRule="auto"/>
        <w:rPr>
          <w:rFonts w:hint="eastAsia"/>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ascii="微软雅黑" w:hAnsi="微软雅黑" w:eastAsia="微软雅黑" w:cs="微软雅黑"/>
          <w:b/>
          <w:sz w:val="22"/>
          <w:lang w:val="en-US" w:eastAsia="zh-CN"/>
        </w:rPr>
      </w:pPr>
      <w:bookmarkStart w:id="11" w:name="6523-1536542303676"/>
      <w:bookmarkEnd w:id="11"/>
      <w:r>
        <w:rPr>
          <w:rFonts w:hint="eastAsia" w:ascii="微软雅黑" w:hAnsi="微软雅黑" w:eastAsia="微软雅黑" w:cs="微软雅黑"/>
          <w:b/>
          <w:sz w:val="22"/>
          <w:lang w:val="en-US" w:eastAsia="zh-CN"/>
        </w:rPr>
        <w:t>空仓</w:t>
      </w:r>
    </w:p>
    <w:p>
      <w:pPr>
        <w:spacing w:line="240" w:lineRule="auto"/>
        <w:rPr>
          <w:rFonts w:ascii="微软雅黑" w:hAnsi="微软雅黑" w:eastAsia="微软雅黑" w:cs="微软雅黑"/>
          <w:b/>
          <w:sz w:val="22"/>
        </w:rPr>
      </w:pPr>
    </w:p>
    <w:p>
      <w:pPr>
        <w:spacing w:line="240" w:lineRule="auto"/>
        <w:rPr>
          <w:lang w:val="en-US"/>
        </w:rPr>
      </w:pPr>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EA85"/>
    <w:multiLevelType w:val="singleLevel"/>
    <w:tmpl w:val="41A9EA85"/>
    <w:lvl w:ilvl="0" w:tentative="0">
      <w:start w:val="1"/>
      <w:numFmt w:val="decimal"/>
      <w:lvlText w:val="%1."/>
      <w:lvlJc w:val="left"/>
      <w:pPr>
        <w:tabs>
          <w:tab w:val="left" w:pos="312"/>
        </w:tabs>
      </w:pPr>
    </w:lvl>
  </w:abstractNum>
  <w:abstractNum w:abstractNumId="1">
    <w:nsid w:val="79CA71C3"/>
    <w:multiLevelType w:val="singleLevel"/>
    <w:tmpl w:val="79CA71C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13ADC"/>
    <w:rsid w:val="0D123C4C"/>
    <w:rsid w:val="0D2627E2"/>
    <w:rsid w:val="0D275AA8"/>
    <w:rsid w:val="0D441CB0"/>
    <w:rsid w:val="0D4C6DF5"/>
    <w:rsid w:val="0D4C7B5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C7DD9"/>
    <w:rsid w:val="0E7F2FEB"/>
    <w:rsid w:val="0E8E7C5A"/>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0C7334D"/>
    <w:rsid w:val="20FB5CAC"/>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185"/>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C2469"/>
    <w:rsid w:val="2B8022AD"/>
    <w:rsid w:val="2B861854"/>
    <w:rsid w:val="2B8667B4"/>
    <w:rsid w:val="2B8B0140"/>
    <w:rsid w:val="2B8C6E3A"/>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82323"/>
    <w:rsid w:val="340F5B81"/>
    <w:rsid w:val="34106BF3"/>
    <w:rsid w:val="34132FF2"/>
    <w:rsid w:val="34205967"/>
    <w:rsid w:val="343144F6"/>
    <w:rsid w:val="3432306B"/>
    <w:rsid w:val="34493A83"/>
    <w:rsid w:val="344E75C7"/>
    <w:rsid w:val="346A6735"/>
    <w:rsid w:val="347030EA"/>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5470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B38F8"/>
    <w:rsid w:val="3F911160"/>
    <w:rsid w:val="3FA47B82"/>
    <w:rsid w:val="3FB60A8F"/>
    <w:rsid w:val="3FD16542"/>
    <w:rsid w:val="3FD50823"/>
    <w:rsid w:val="3FE57A37"/>
    <w:rsid w:val="3FE6620E"/>
    <w:rsid w:val="40190984"/>
    <w:rsid w:val="401F1357"/>
    <w:rsid w:val="402D5AAC"/>
    <w:rsid w:val="403C756C"/>
    <w:rsid w:val="404B50D7"/>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676CB"/>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091E10"/>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5C615D"/>
    <w:rsid w:val="5D6937A6"/>
    <w:rsid w:val="5D7F3773"/>
    <w:rsid w:val="5D891283"/>
    <w:rsid w:val="5D8C2C42"/>
    <w:rsid w:val="5DA301CD"/>
    <w:rsid w:val="5DA97C2A"/>
    <w:rsid w:val="5DDB5902"/>
    <w:rsid w:val="5DDD0182"/>
    <w:rsid w:val="5DF314DF"/>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C54B2"/>
    <w:rsid w:val="5FE014D1"/>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AD3F87"/>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0723C"/>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40439"/>
    <w:rsid w:val="6EAD196C"/>
    <w:rsid w:val="6EB0714F"/>
    <w:rsid w:val="6EB7160A"/>
    <w:rsid w:val="6EBC0F61"/>
    <w:rsid w:val="6EBC4C9D"/>
    <w:rsid w:val="6EF84418"/>
    <w:rsid w:val="6F016BFE"/>
    <w:rsid w:val="6F194FFA"/>
    <w:rsid w:val="6F257E2B"/>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336AEC"/>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2019-01-23T15:04:11Z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