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-2</w:t>
      </w:r>
      <w:r>
        <w:rPr>
          <w:rFonts w:hint="default" w:ascii="微软雅黑" w:hAnsi="微软雅黑" w:eastAsia="微软雅黑" w:cs="微软雅黑"/>
          <w:sz w:val="22"/>
          <w:lang w:val="en-US" w:eastAsia="zh-CN"/>
        </w:rPr>
        <w:t>4</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8.73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9.77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auto"/>
                <w:sz w:val="21"/>
                <w:szCs w:val="21"/>
                <w:lang w:val="en-US" w:eastAsia="zh-CN"/>
              </w:rPr>
            </w:pPr>
            <w:r>
              <w:rPr>
                <w:rFonts w:hint="eastAsia" w:asciiTheme="minorEastAsia" w:hAnsiTheme="minorEastAsia" w:cstheme="minorEastAsia"/>
                <w:strike w:val="0"/>
                <w:dstrike w:val="0"/>
                <w:color w:val="FF0000"/>
                <w:sz w:val="21"/>
                <w:szCs w:val="21"/>
                <w:lang w:val="en-US" w:eastAsia="zh-CN"/>
              </w:rPr>
              <w:t>卖了就涨停。。。。</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21.42</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22.36</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auto"/>
                <w:sz w:val="21"/>
                <w:szCs w:val="21"/>
                <w:lang w:val="en-US" w:eastAsia="zh-CN"/>
              </w:rPr>
            </w:pPr>
            <w:r>
              <w:rPr>
                <w:rFonts w:hint="eastAsia" w:asciiTheme="minorEastAsia" w:hAnsiTheme="minorEastAsia" w:cstheme="minorEastAsia"/>
                <w:strike w:val="0"/>
                <w:dstrike w:val="0"/>
                <w:color w:val="FF0000"/>
                <w:sz w:val="21"/>
                <w:szCs w:val="21"/>
                <w:lang w:val="en-US" w:eastAsia="zh-CN"/>
              </w:rPr>
              <w:t>卖了就涨</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持仓2800股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3.</w:t>
            </w:r>
            <w:r>
              <w:rPr>
                <w:rFonts w:hint="default" w:asciiTheme="minorEastAsia" w:hAnsiTheme="minorEastAsia" w:cstheme="minorEastAsia"/>
                <w:b w:val="0"/>
                <w:i w:val="0"/>
                <w:strike/>
                <w:dstrike w:val="0"/>
                <w:color w:val="auto"/>
                <w:kern w:val="0"/>
                <w:sz w:val="21"/>
                <w:szCs w:val="21"/>
                <w:u w:val="none"/>
                <w:lang w:val="en-US" w:eastAsia="zh-CN" w:bidi="ar"/>
              </w:rPr>
              <w:t>58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default" w:asciiTheme="minorEastAsia" w:hAnsiTheme="minorEastAsia" w:cstheme="minorEastAsia"/>
                <w:b w:val="0"/>
                <w:i w:val="0"/>
                <w:strike/>
                <w:dstrike w:val="0"/>
                <w:color w:val="auto"/>
                <w:kern w:val="0"/>
                <w:sz w:val="21"/>
                <w:szCs w:val="21"/>
                <w:u w:val="none"/>
                <w:lang w:val="en-US" w:eastAsia="zh-CN" w:bidi="ar"/>
              </w:rPr>
              <w:t>3.67</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网游版块开始底部反弹，持股等待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雪峰股份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4.01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4.99</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明日考虑止损。没有下手，波动很小还想再等。</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持仓700股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凯乐科技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18.03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20.46</w:t>
            </w:r>
          </w:p>
        </w:tc>
        <w:tc>
          <w:tcPr>
            <w:tcW w:w="3841" w:type="dxa"/>
            <w:vAlign w:val="top"/>
          </w:tcPr>
          <w:p>
            <w:pPr>
              <w:keepNext w:val="0"/>
              <w:keepLines w:val="0"/>
              <w:widowControl/>
              <w:numPr>
                <w:ilvl w:val="0"/>
                <w:numId w:val="1"/>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下跌充分</w:t>
            </w:r>
          </w:p>
          <w:p>
            <w:pPr>
              <w:keepNext w:val="0"/>
              <w:keepLines w:val="0"/>
              <w:widowControl/>
              <w:numPr>
                <w:ilvl w:val="0"/>
                <w:numId w:val="1"/>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底部筹码集中</w:t>
            </w:r>
          </w:p>
          <w:p>
            <w:pPr>
              <w:keepNext w:val="0"/>
              <w:keepLines w:val="0"/>
              <w:widowControl/>
              <w:numPr>
                <w:ilvl w:val="0"/>
                <w:numId w:val="1"/>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有过恐慌性杀跌，底部头肩形态</w:t>
            </w:r>
          </w:p>
          <w:p>
            <w:pPr>
              <w:keepNext w:val="0"/>
              <w:keepLines w:val="0"/>
              <w:widowControl/>
              <w:numPr>
                <w:ilvl w:val="0"/>
                <w:numId w:val="1"/>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概念很多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持仓100股，买入试盘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平煤股份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3.59</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4.01</w:t>
            </w:r>
          </w:p>
        </w:tc>
        <w:tc>
          <w:tcPr>
            <w:tcW w:w="3841" w:type="dxa"/>
            <w:vAlign w:val="top"/>
          </w:tcPr>
          <w:p>
            <w:pPr>
              <w:keepNext w:val="0"/>
              <w:keepLines w:val="0"/>
              <w:widowControl/>
              <w:numPr>
                <w:ilvl w:val="0"/>
                <w:numId w:val="2"/>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煤炭板块多个股票双叉放量</w:t>
            </w:r>
          </w:p>
          <w:p>
            <w:pPr>
              <w:keepNext w:val="0"/>
              <w:keepLines w:val="0"/>
              <w:widowControl/>
              <w:numPr>
                <w:ilvl w:val="0"/>
                <w:numId w:val="2"/>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下跌较深，价格较低，底部形成</w:t>
            </w:r>
          </w:p>
          <w:p>
            <w:pPr>
              <w:keepNext w:val="0"/>
              <w:keepLines w:val="0"/>
              <w:widowControl/>
              <w:numPr>
                <w:ilvl w:val="0"/>
                <w:numId w:val="2"/>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筹码集中，pb较低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持仓400股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3677-1536542303641"/>
      <w:bookmarkEnd w:id="2"/>
      <w:bookmarkStart w:id="3" w:name="1096-1536542303639"/>
      <w:bookmarkEnd w:id="3"/>
      <w:bookmarkStart w:id="4" w:name="2151-1536542303645"/>
      <w:bookmarkEnd w:id="4"/>
      <w:bookmarkStart w:id="5" w:name="8416-1536542303643"/>
      <w:bookmarkEnd w:id="5"/>
      <w:bookmarkStart w:id="6" w:name="2911-1536542303635"/>
      <w:bookmarkEnd w:id="6"/>
      <w:bookmarkStart w:id="7" w:name="1227-1536542303637"/>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r>
        <w:rPr>
          <w:rFonts w:hint="eastAsia" w:ascii="微软雅黑" w:hAnsi="微软雅黑" w:eastAsia="微软雅黑" w:cs="微软雅黑"/>
          <w:b w:val="0"/>
          <w:bCs/>
          <w:sz w:val="22"/>
          <w:lang w:val="en-US" w:eastAsia="zh-CN"/>
        </w:rPr>
        <w:tab/>
      </w:r>
      <w:r>
        <w:rPr>
          <w:rFonts w:hint="eastAsia" w:ascii="微软雅黑" w:hAnsi="微软雅黑" w:eastAsia="微软雅黑" w:cs="微软雅黑"/>
          <w:b w:val="0"/>
          <w:bCs/>
          <w:sz w:val="22"/>
          <w:lang w:val="en-US" w:eastAsia="zh-CN"/>
        </w:rPr>
        <w:t>今天涨停家数较上一交易日持平，两市46家涨停；跌停11家。成交量方面，沪市成交1316亿元，深市成交1690亿元，两市总成交额约为3006元，较上一交易日放量566亿元。盘面上，芯片、数字中国、券商等板块涨幅居前，钛白粉、燃料电池、黄金等板块跌幅居前。</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default"/>
          <w:lang w:val="en-US"/>
        </w:rPr>
      </w:pPr>
      <w:r>
        <w:rPr>
          <w:rFonts w:hint="default"/>
          <w:lang w:val="en-US"/>
        </w:rPr>
        <w:t xml:space="preserve"> 国务院：加大对雄安新区直接融资支持力度 优先支持符合条件的雄安新区企业发行上市</w:t>
      </w:r>
    </w:p>
    <w:p>
      <w:pPr>
        <w:spacing w:line="240" w:lineRule="auto"/>
        <w:rPr>
          <w:rFonts w:hint="default"/>
          <w:lang w:val="en-US"/>
        </w:rPr>
      </w:pPr>
    </w:p>
    <w:p>
      <w:pPr>
        <w:spacing w:line="240" w:lineRule="auto"/>
        <w:rPr>
          <w:rFonts w:hint="default"/>
          <w:lang w:val="en-US"/>
        </w:rPr>
      </w:pPr>
      <w:r>
        <w:rPr>
          <w:rFonts w:hint="default"/>
          <w:lang w:val="en-US"/>
        </w:rPr>
        <w:t>《中共中央 国务院关于支持河北雄安新区全面深化改革和扩大开放的指导意见》指出，加大对雄安新区直接融资支持力度，建立长期稳定的建设资金筹措机制。加大对地方政府债券发行的支持力度，单独核定雄安新区债券额度，支持发行10年期及以上的雄安新区建设一般债和专项债。支持中国雄安集团有限公司提高市场化融资能力，规范运用社会化、市场化方式筹资，严禁金融机构违规向雄安新区提供融资。优先支持符合条件的雄安新区企业发行上市、并购重组、股权转让、债券发行、资产证券化。支持在雄安新区探索推广知识产权证券化等新型金融产品。鼓励保险公司根据需要创新开发保险产品，推进京津冀地区的保险公司跨区域经营备案管理试点。</w:t>
      </w: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r>
        <w:rPr>
          <w:rFonts w:hint="default"/>
          <w:lang w:val="en-US"/>
        </w:rPr>
        <w:t>国务院：放宽外汇资金进出管制 促进雄安新区投融资汇兑便利化</w:t>
      </w:r>
    </w:p>
    <w:p>
      <w:pPr>
        <w:spacing w:line="240" w:lineRule="auto"/>
        <w:rPr>
          <w:rFonts w:hint="default"/>
          <w:lang w:val="en-US"/>
        </w:rPr>
      </w:pPr>
    </w:p>
    <w:p>
      <w:pPr>
        <w:spacing w:line="240" w:lineRule="auto"/>
        <w:rPr>
          <w:rFonts w:hint="default"/>
          <w:lang w:val="en-US"/>
        </w:rPr>
      </w:pPr>
      <w:r>
        <w:rPr>
          <w:rFonts w:hint="default"/>
          <w:lang w:val="en-US"/>
        </w:rPr>
        <w:t>《中共中央 国务院关于支持河北雄安新区全面深化改革和扩大开放的指导意见》指出，支持在雄安新区设立国际性仲裁、认证、鉴定权威机构。拓宽中外金融市场合作领域，金融领域负面清单以外事项实行内外资统一管理。放宽外汇资金进出管制，促进雄安新区投融资汇兑便利化，稳步推进人民币资本项目可兑换。对标国际先进水平建设国际贸易“单一窗口”，推进雄安新区“智慧海关”建设，探索建立海关特殊监管区域。</w:t>
      </w: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r>
        <w:rPr>
          <w:rFonts w:hint="default"/>
          <w:lang w:val="en-US"/>
        </w:rPr>
        <w:t>财新：证监会监管会议将于1月25日召开 刘士余将做工作报告</w:t>
      </w:r>
    </w:p>
    <w:p>
      <w:pPr>
        <w:spacing w:line="240" w:lineRule="auto"/>
        <w:rPr>
          <w:rFonts w:hint="default"/>
          <w:lang w:val="en-US"/>
        </w:rPr>
      </w:pPr>
    </w:p>
    <w:p>
      <w:pPr>
        <w:spacing w:line="240" w:lineRule="auto"/>
        <w:rPr>
          <w:rFonts w:hint="default"/>
          <w:lang w:val="en-US"/>
        </w:rPr>
      </w:pPr>
      <w:r>
        <w:rPr>
          <w:rFonts w:hint="default"/>
          <w:lang w:val="en-US"/>
        </w:rPr>
        <w:t>一年一度的全国证券期货监管工作会议向来是市场各方关注的焦点，通常只有证监系统局级(含)以上干部现场参加，其余监管干部通过场外视频会议同步召开。据财新记者了解，上述会议将于1月25日正式召开，证监会主席刘士余将做工作报告，总结2018年的主要工作，并部署2019年工作重点。</w:t>
      </w:r>
    </w:p>
    <w:p>
      <w:pPr>
        <w:spacing w:line="240" w:lineRule="auto"/>
        <w:rPr>
          <w:rFonts w:hint="default"/>
          <w:lang w:val="en-US"/>
        </w:rPr>
      </w:pPr>
    </w:p>
    <w:p>
      <w:pPr>
        <w:spacing w:line="240" w:lineRule="auto"/>
        <w:rPr>
          <w:rFonts w:hint="default"/>
          <w:lang w:val="en-US"/>
        </w:rPr>
      </w:pPr>
    </w:p>
    <w:p>
      <w:pPr>
        <w:spacing w:line="240" w:lineRule="auto"/>
        <w:rPr>
          <w:rFonts w:hint="default"/>
          <w:lang w:val="en-US"/>
        </w:rPr>
      </w:pPr>
      <w:r>
        <w:rPr>
          <w:rFonts w:hint="default"/>
          <w:lang w:val="en-US"/>
        </w:rPr>
        <w:t>财政部：创投企业个人合伙人可按20%税率缴纳个人所得税</w:t>
      </w:r>
    </w:p>
    <w:p>
      <w:pPr>
        <w:spacing w:line="240" w:lineRule="auto"/>
        <w:rPr>
          <w:rFonts w:hint="default"/>
          <w:lang w:val="en-US"/>
        </w:rPr>
      </w:pPr>
    </w:p>
    <w:p>
      <w:pPr>
        <w:spacing w:line="240" w:lineRule="auto"/>
        <w:rPr>
          <w:rFonts w:hint="eastAsia"/>
        </w:rPr>
      </w:pPr>
      <w:r>
        <w:rPr>
          <w:rFonts w:hint="default"/>
          <w:lang w:val="en-US"/>
        </w:rPr>
        <w:t>财政部印发《关于创业投资企业个人合伙人所得税政策问题的通知》。创投企业可以选择按单一投资基金核算或者按创投企业年度所得整体核算两种方式之一，对其个人合伙人来源于创投企业的所得计算个人所得税应纳税额。创投企业选择按单一投资基金核算的，其个人合伙人从该基金应分得的股权转让所得和股息红利所得，按照20%税率计算缴纳个人所得税。创投企业选择按年度所得整体核算的，其个人合伙人应从创投企业取得的所得，按照“经营所得”项目、5%-35%的超额累进税率计算缴纳个人所得税。  </w:t>
      </w:r>
      <w:bookmarkStart w:id="14" w:name="_GoBack"/>
      <w:bookmarkEnd w:id="14"/>
    </w:p>
    <w:p>
      <w:pPr>
        <w:spacing w:line="240" w:lineRule="auto"/>
        <w:rPr>
          <w:rFonts w:hint="eastAsia"/>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130-1536542303665"/>
      <w:bookmarkEnd w:id="9"/>
      <w:bookmarkStart w:id="10" w:name="8598-1536542303673"/>
      <w:bookmarkEnd w:id="10"/>
    </w:p>
    <w:p>
      <w:pPr>
        <w:spacing w:line="240" w:lineRule="auto"/>
        <w:rPr>
          <w:rFonts w:hint="eastAsia" w:ascii="微软雅黑" w:hAnsi="微软雅黑" w:eastAsia="微软雅黑" w:cs="微软雅黑"/>
          <w:b/>
          <w:sz w:val="22"/>
          <w:lang w:val="en-US" w:eastAsia="zh-CN"/>
        </w:rPr>
      </w:pPr>
      <w:bookmarkStart w:id="11" w:name="6523-1536542303676"/>
      <w:bookmarkEnd w:id="11"/>
      <w:r>
        <w:rPr>
          <w:rFonts w:hint="eastAsia" w:ascii="微软雅黑" w:hAnsi="微软雅黑" w:eastAsia="微软雅黑" w:cs="微软雅黑"/>
          <w:b/>
          <w:sz w:val="22"/>
          <w:lang w:val="en-US" w:eastAsia="zh-CN"/>
        </w:rPr>
        <w:t>空仓</w:t>
      </w:r>
    </w:p>
    <w:p>
      <w:pPr>
        <w:spacing w:line="240" w:lineRule="auto"/>
        <w:rPr>
          <w:rFonts w:ascii="微软雅黑" w:hAnsi="微软雅黑" w:eastAsia="微软雅黑" w:cs="微软雅黑"/>
          <w:b/>
          <w:sz w:val="22"/>
        </w:rPr>
      </w:pPr>
    </w:p>
    <w:p>
      <w:pPr>
        <w:spacing w:line="240" w:lineRule="auto"/>
        <w:rPr>
          <w:lang w:val="en-US"/>
        </w:rPr>
      </w:pPr>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EA85"/>
    <w:multiLevelType w:val="singleLevel"/>
    <w:tmpl w:val="41A9EA85"/>
    <w:lvl w:ilvl="0" w:tentative="0">
      <w:start w:val="1"/>
      <w:numFmt w:val="decimal"/>
      <w:lvlText w:val="%1."/>
      <w:lvlJc w:val="left"/>
      <w:pPr>
        <w:tabs>
          <w:tab w:val="left" w:pos="312"/>
        </w:tabs>
      </w:pPr>
    </w:lvl>
  </w:abstractNum>
  <w:abstractNum w:abstractNumId="1">
    <w:nsid w:val="79CA71C3"/>
    <w:multiLevelType w:val="singleLevel"/>
    <w:tmpl w:val="79CA71C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234802"/>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13ADC"/>
    <w:rsid w:val="0D123C4C"/>
    <w:rsid w:val="0D2627E2"/>
    <w:rsid w:val="0D275AA8"/>
    <w:rsid w:val="0D441CB0"/>
    <w:rsid w:val="0D4C6DF5"/>
    <w:rsid w:val="0D4C7B5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C7DD9"/>
    <w:rsid w:val="0E7F2FEB"/>
    <w:rsid w:val="0E8E7C5A"/>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CE4AC0"/>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C22954"/>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C06AD"/>
    <w:rsid w:val="20583167"/>
    <w:rsid w:val="206A79AA"/>
    <w:rsid w:val="2078113D"/>
    <w:rsid w:val="207C6EA9"/>
    <w:rsid w:val="20837656"/>
    <w:rsid w:val="2094409D"/>
    <w:rsid w:val="20A06974"/>
    <w:rsid w:val="20B176AD"/>
    <w:rsid w:val="20BF12E3"/>
    <w:rsid w:val="20C7334D"/>
    <w:rsid w:val="20FB5CAC"/>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C2469"/>
    <w:rsid w:val="2B8022AD"/>
    <w:rsid w:val="2B861854"/>
    <w:rsid w:val="2B8667B4"/>
    <w:rsid w:val="2B8B0140"/>
    <w:rsid w:val="2B8C6E3A"/>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2A1BC1"/>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6265EF"/>
    <w:rsid w:val="307642F8"/>
    <w:rsid w:val="307B6C06"/>
    <w:rsid w:val="307C2FD5"/>
    <w:rsid w:val="308472ED"/>
    <w:rsid w:val="30883BF5"/>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82323"/>
    <w:rsid w:val="340F5B81"/>
    <w:rsid w:val="34106BF3"/>
    <w:rsid w:val="34132FF2"/>
    <w:rsid w:val="34205967"/>
    <w:rsid w:val="343144F6"/>
    <w:rsid w:val="3432306B"/>
    <w:rsid w:val="34493A83"/>
    <w:rsid w:val="344E75C7"/>
    <w:rsid w:val="346A6735"/>
    <w:rsid w:val="347030EA"/>
    <w:rsid w:val="3471300F"/>
    <w:rsid w:val="347E756B"/>
    <w:rsid w:val="34874227"/>
    <w:rsid w:val="34890003"/>
    <w:rsid w:val="34931091"/>
    <w:rsid w:val="349A3EDD"/>
    <w:rsid w:val="34A67B11"/>
    <w:rsid w:val="34B775B2"/>
    <w:rsid w:val="34CD6D56"/>
    <w:rsid w:val="34E038B6"/>
    <w:rsid w:val="34E2546A"/>
    <w:rsid w:val="34E30F0F"/>
    <w:rsid w:val="34F01269"/>
    <w:rsid w:val="35007CFC"/>
    <w:rsid w:val="351241C6"/>
    <w:rsid w:val="35151BB3"/>
    <w:rsid w:val="351F02B8"/>
    <w:rsid w:val="35212DC6"/>
    <w:rsid w:val="3543425C"/>
    <w:rsid w:val="35480EDF"/>
    <w:rsid w:val="35583B40"/>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02477"/>
    <w:rsid w:val="3C9D0BD3"/>
    <w:rsid w:val="3C9F1451"/>
    <w:rsid w:val="3CA5557B"/>
    <w:rsid w:val="3CAC1A05"/>
    <w:rsid w:val="3CB47B42"/>
    <w:rsid w:val="3CB851BD"/>
    <w:rsid w:val="3CBF2113"/>
    <w:rsid w:val="3CC15D23"/>
    <w:rsid w:val="3CC5059F"/>
    <w:rsid w:val="3CC5470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B38F8"/>
    <w:rsid w:val="3F911160"/>
    <w:rsid w:val="3FA47B82"/>
    <w:rsid w:val="3FB60A8F"/>
    <w:rsid w:val="3FD16542"/>
    <w:rsid w:val="3FD50823"/>
    <w:rsid w:val="3FE57A37"/>
    <w:rsid w:val="3FE6620E"/>
    <w:rsid w:val="40190984"/>
    <w:rsid w:val="401F1357"/>
    <w:rsid w:val="402D5AAC"/>
    <w:rsid w:val="403C756C"/>
    <w:rsid w:val="404B50D7"/>
    <w:rsid w:val="406358BC"/>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676CB"/>
    <w:rsid w:val="48C76242"/>
    <w:rsid w:val="48CE01C1"/>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C54B2"/>
    <w:rsid w:val="5FE014D1"/>
    <w:rsid w:val="5FE36389"/>
    <w:rsid w:val="5FE73EAF"/>
    <w:rsid w:val="601B0C3B"/>
    <w:rsid w:val="60290442"/>
    <w:rsid w:val="603858FC"/>
    <w:rsid w:val="60396B20"/>
    <w:rsid w:val="60397D0D"/>
    <w:rsid w:val="603E4C08"/>
    <w:rsid w:val="60501874"/>
    <w:rsid w:val="605C34EC"/>
    <w:rsid w:val="606576DF"/>
    <w:rsid w:val="607B0F50"/>
    <w:rsid w:val="60866833"/>
    <w:rsid w:val="60A0766E"/>
    <w:rsid w:val="60A564FB"/>
    <w:rsid w:val="60A772D5"/>
    <w:rsid w:val="60AD3F87"/>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0723C"/>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40439"/>
    <w:rsid w:val="6EAD196C"/>
    <w:rsid w:val="6EB0714F"/>
    <w:rsid w:val="6EB7160A"/>
    <w:rsid w:val="6EBC0F61"/>
    <w:rsid w:val="6EBC4C9D"/>
    <w:rsid w:val="6EF84418"/>
    <w:rsid w:val="6F016BFE"/>
    <w:rsid w:val="6F194FFA"/>
    <w:rsid w:val="6F257E2B"/>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2019-01-24T15:08:50Z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