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-25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卖了就涨停。。。。今日继续涨</w:t>
            </w:r>
            <w:bookmarkStart w:id="14" w:name="_GoBack"/>
            <w:bookmarkEnd w:id="14"/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终于开始跌了 -3.78%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雪峰股份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4.99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明日考虑止损。没有下手，波动很小还想再等。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凯乐科技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18.03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20.46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下跌充分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底部筹码集中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有过恐慌性杀跌，底部头肩形态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概念很多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持仓100股，买入试盘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平煤股份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3.59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煤炭板块多个股票双叉放量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下跌较深，价格较低，底部形成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  <w:t>筹码集中，pb较低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1096-1536542303639"/>
      <w:bookmarkEnd w:id="3"/>
      <w:bookmarkStart w:id="4" w:name="2151-1536542303645"/>
      <w:bookmarkEnd w:id="4"/>
      <w:bookmarkStart w:id="5" w:name="1227-1536542303637"/>
      <w:bookmarkEnd w:id="5"/>
      <w:bookmarkStart w:id="6" w:name="8416-1536542303643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成交量并未萎缩，继续保持1300亿以上。今日k线点了个蜡烛，表示上方有压力，多空纠结状态。目前应该减仓，等待下跌回补缺口再买较为合适。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drawing>
          <wp:inline distT="0" distB="0" distL="114300" distR="114300">
            <wp:extent cx="5263515" cy="27997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1、华为发布全球首个5G基站核心芯片、5G芯片概念受关注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2、中共中央国务院发文 研究在雄安新区建设国家级互联网骨干直联点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3、三大运营商纷纷开展eSIM试点 最适合物联网链接需求 </w:t>
      </w:r>
    </w:p>
    <w:p>
      <w:pPr>
        <w:spacing w:line="240" w:lineRule="auto"/>
        <w:rPr>
          <w:rFonts w:hint="eastAsia"/>
        </w:rPr>
      </w:pPr>
      <w:r>
        <w:rPr>
          <w:rFonts w:hint="default"/>
          <w:lang w:val="en-US"/>
        </w:rPr>
        <w:t xml:space="preserve">4、多家手机厂商齐推折叠屏新品柔性屏出货量望增长 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bookmarkStart w:id="11" w:name="6523-1536542303676"/>
      <w:bookmarkEnd w:id="11"/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空仓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EA85"/>
    <w:multiLevelType w:val="singleLevel"/>
    <w:tmpl w:val="41A9E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CA71C3"/>
    <w:multiLevelType w:val="singleLevel"/>
    <w:tmpl w:val="79CA7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13ADC"/>
    <w:rsid w:val="0D123C4C"/>
    <w:rsid w:val="0D2627E2"/>
    <w:rsid w:val="0D275AA8"/>
    <w:rsid w:val="0D441CB0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C7DD9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6265EF"/>
    <w:rsid w:val="307642F8"/>
    <w:rsid w:val="307B6C06"/>
    <w:rsid w:val="307C2FD5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583B40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0723C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2019-01-25T15:45:14Z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