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30</w:t>
      </w:r>
      <w:bookmarkStart w:id="13" w:name="_GoBack"/>
      <w:bookmarkEnd w:id="13"/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3677-1536542303641"/>
      <w:bookmarkEnd w:id="4"/>
      <w:bookmarkStart w:id="5" w:name="8416-1536542303643"/>
      <w:bookmarkEnd w:id="5"/>
      <w:bookmarkStart w:id="6" w:name="2151-1536542303645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22家涨停；跌停68家。成交量方面，沪市成交1011亿元，深市成交1362亿元，两市总成交额约为2373元，较上一交易日缩量565亿元。盘面上板块多数下跌，赛马、零售、燃料电池、钛白粉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8"/>
          <w:szCs w:val="28"/>
          <w:shd w:val="clear" w:fill="FFFFFF"/>
        </w:rPr>
        <w:t>证监会发布科创板系列文件并公开征求意见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证监会发布科创板首次公开发行股票注册管理办法(试行)、科创板上市公司持续监管办法(试行)。《科创板上市公司持续监管办法(试行)》指出，明确科创板公司不适用单一的连续亏损退市指标，授权交易所制定能够反映公司持续盈利能力的组合退市指标；授权交易所在现有交易类退市指标基础上增加市值类退市指标；规定严重扰乱市场秩序、严重损害投资者权益且在规定期限内未改正的，交易所可以终止其股票上市。程序方面，科创板不再设置暂停上市、恢复上市和重新上市环节，退市程序更为简明、清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8"/>
          <w:szCs w:val="28"/>
          <w:shd w:val="clear" w:fill="FFFFFF"/>
        </w:rPr>
        <w:t>哪些投资者能进科创板？上交所：须符合“50＋24”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上交所相关负责人1月30日在向记者表示，只要记住两个数字就行了：50万、24个月。50万是指：申请权限开通前20个交易日证券账户及资金账户内的资产日均不低于人民币50万元；24个月是指参与证券交易24个月以上。上交所负责人表示，这些安排也是为了更好地保护投资者权益。此外，上述负责人还表示，如果投资者在申请权限开通前20个交易日证券账户及资金账户内的资产日均低于人民币50万元，也鼓励其通过公募基金等方式进入市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上交所表示，科创板吸收了最新的退市改革成果，将执行史上最严的退市制度，有执行严、标准严、程序严等特征。按照这个退市制度，现在A股市场很多壳公司很危险。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E53333"/>
          <w:spacing w:val="0"/>
          <w:sz w:val="28"/>
          <w:szCs w:val="28"/>
          <w:shd w:val="clear" w:fill="FFFFFF"/>
        </w:rPr>
        <w:t>科创板意见公布：放宽涨跌幅限制，上市前5天不限涨跌幅 第六天开始设限20%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科创板意见公布：允许红筹企业通过发行CDR的方式上科创板，条件即采用2018年6月出台的《存托凭证发行与交易管理办法(试行)》等配套规则。科创板与目前创业板、中小板不同，放宽涨跌幅限制，上市前5天不限涨跌幅，第六天开始设限20%。科创公司并购重组由交易所审核，涉及发行股票的，实施注册制；同时，考虑到科创板对行业、技术等方面的特别要求，要求重大资产重组标的公司须符合科创板对行业、技术的要求，并与现有主业具备协同效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53333"/>
          <w:spacing w:val="0"/>
          <w:sz w:val="28"/>
          <w:szCs w:val="28"/>
          <w:shd w:val="clear" w:fill="FFFFFF"/>
        </w:rPr>
        <w:t>国常会：听取清理拖欠民营企业中小企业账款工作汇报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李克强主持召开国务院常务会议，听取清理拖欠民营企业中小企业账款工作汇报，要求加大清欠力度，完善长效机制；通过《报废机动车回收管理办法(修订草案)》。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央行：2月13日将在香港发行两期共200亿元央票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A4C"/>
          <w:spacing w:val="0"/>
          <w:sz w:val="28"/>
          <w:szCs w:val="28"/>
          <w:shd w:val="clear" w:fill="FFFFFF"/>
        </w:rPr>
        <w:t>央行公告，2月13日将通过香港金融管理局债务工具中央结算系统(CMU)债券投标平台，招标发行2019年第一期和第二期中央银行票据。第一期中央银行票据期限3个月(91天)，为固定利率附息债券，到期还本付息，发行量100亿元，起息日为2019年2月15日；第二期中央银行票据期限1年，为固定利率附息债券，每半年付息一次，发行量100亿元，起息日为2019年2月15日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</w:p>
    <w:p>
      <w:pPr>
        <w:rPr>
          <w:rFonts w:hint="eastAsia"/>
          <w:lang w:val="en-US" w:eastAsia="zh-CN"/>
        </w:rPr>
      </w:pPr>
      <w:bookmarkStart w:id="10" w:name="6523-1536542303676"/>
      <w:bookmarkEnd w:id="10"/>
      <w:r>
        <w:rPr>
          <w:rFonts w:hint="eastAsia"/>
          <w:lang w:val="en-US" w:eastAsia="zh-CN"/>
        </w:rPr>
        <w:t>空仓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1月3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13ADC"/>
    <w:rsid w:val="0D123C4C"/>
    <w:rsid w:val="0D2627E2"/>
    <w:rsid w:val="0D275AA8"/>
    <w:rsid w:val="0D441CB0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C7DD9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6265EF"/>
    <w:rsid w:val="307642F8"/>
    <w:rsid w:val="307B6C06"/>
    <w:rsid w:val="307C2FD5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29AA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536DD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2019-01-30T16:00:24Z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