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3</w:t>
      </w:r>
      <w:r>
        <w:rPr>
          <w:rFonts w:hint="eastAsia" w:ascii="微软雅黑" w:hAnsi="微软雅黑" w:eastAsia="微软雅黑" w:cs="微软雅黑"/>
          <w:sz w:val="22"/>
          <w:lang w:val="en-US" w:eastAsia="zh-CN"/>
        </w:rPr>
        <w:t>1</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dstrike w:val="0"/>
                <w:color w:val="auto"/>
                <w:kern w:val="0"/>
                <w:sz w:val="21"/>
                <w:szCs w:val="21"/>
                <w:u w:val="none"/>
                <w:lang w:val="en-US" w:eastAsia="zh-CN" w:bidi="ar"/>
              </w:rPr>
            </w:pP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auto"/>
                <w:sz w:val="21"/>
                <w:szCs w:val="21"/>
                <w:lang w:val="en-US" w:eastAsia="zh-CN"/>
              </w:rPr>
            </w:pP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p>
        </w:tc>
      </w:tr>
    </w:tbl>
    <w:p>
      <w:pPr>
        <w:spacing w:line="240" w:lineRule="auto"/>
        <w:rPr>
          <w:lang w:val="en-US"/>
        </w:rPr>
      </w:pPr>
      <w:bookmarkStart w:id="0" w:name="7380-1536542303605"/>
      <w:bookmarkEnd w:id="0"/>
      <w:bookmarkStart w:id="1" w:name="9057-1536542303601"/>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3677-1536542303641"/>
      <w:bookmarkEnd w:id="2"/>
      <w:bookmarkStart w:id="3" w:name="1227-1536542303637"/>
      <w:bookmarkEnd w:id="3"/>
      <w:bookmarkStart w:id="4" w:name="8416-1536542303643"/>
      <w:bookmarkEnd w:id="4"/>
      <w:bookmarkStart w:id="5" w:name="1096-1536542303639"/>
      <w:bookmarkEnd w:id="5"/>
      <w:bookmarkStart w:id="6" w:name="2151-1536542303645"/>
      <w:bookmarkEnd w:id="6"/>
      <w:bookmarkStart w:id="7" w:name="2911-1536542303635"/>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rPr>
      </w:pPr>
      <w:r>
        <w:rPr>
          <w:rFonts w:hint="eastAsia" w:ascii="微软雅黑" w:hAnsi="微软雅黑" w:eastAsia="微软雅黑" w:cs="微软雅黑"/>
          <w:b w:val="0"/>
          <w:bCs/>
          <w:sz w:val="22"/>
        </w:rPr>
        <w:t>今天涨停家数较上一交易日有所减少，两市18家涨停；跌停131家。成交量方面，沪市成交1260亿元，深市成交1598亿元，两市总成交额约为2858元，较上一交易日放量485亿元。盘面上板块多数下跌，赛马、次新股、彩票、天津自贸区等板块跌幅居前。</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题材股继续暴雷闪崩，跌停120余家。上证50护盘，+1.78%。</w:t>
      </w:r>
      <w:bookmarkStart w:id="13" w:name="_GoBack"/>
      <w:bookmarkEnd w:id="13"/>
    </w:p>
    <w:p>
      <w:pPr>
        <w:spacing w:line="240" w:lineRule="auto"/>
        <w:rPr>
          <w:rFonts w:hint="eastAsia" w:ascii="微软雅黑" w:hAnsi="微软雅黑" w:eastAsia="微软雅黑" w:cs="微软雅黑"/>
          <w:b w:val="0"/>
          <w:bCs/>
          <w:sz w:val="22"/>
          <w:lang w:val="en-US" w:eastAsia="zh-CN"/>
        </w:rPr>
      </w:pPr>
      <w:r>
        <w:drawing>
          <wp:inline distT="0" distB="0" distL="114300" distR="114300">
            <wp:extent cx="4095750" cy="2257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95750" cy="2257425"/>
                    </a:xfrm>
                    <a:prstGeom prst="rect">
                      <a:avLst/>
                    </a:prstGeom>
                    <a:noFill/>
                    <a:ln w="9525">
                      <a:noFill/>
                    </a:ln>
                  </pic:spPr>
                </pic:pic>
              </a:graphicData>
            </a:graphic>
          </wp:inline>
        </w:drawing>
      </w:r>
      <w:r>
        <w:drawing>
          <wp:inline distT="0" distB="0" distL="114300" distR="114300">
            <wp:extent cx="3505200" cy="2085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2085975"/>
                    </a:xfrm>
                    <a:prstGeom prst="rect">
                      <a:avLst/>
                    </a:prstGeom>
                    <a:noFill/>
                    <a:ln w="9525">
                      <a:noFill/>
                    </a:ln>
                  </pic:spPr>
                </pic:pic>
              </a:graphicData>
            </a:graphic>
          </wp:inline>
        </w:drawing>
      </w:r>
    </w:p>
    <w:p>
      <w:pPr>
        <w:spacing w:line="240" w:lineRule="auto"/>
        <w:rPr>
          <w:rFonts w:ascii="微软雅黑" w:hAnsi="微软雅黑" w:eastAsia="微软雅黑" w:cs="微软雅黑"/>
          <w:b/>
          <w:sz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jc w:val="both"/>
        <w:rPr>
          <w:rFonts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080FF"/>
          <w:spacing w:val="8"/>
          <w:sz w:val="25"/>
          <w:szCs w:val="25"/>
          <w:bdr w:val="none" w:color="auto" w:sz="0" w:space="0"/>
          <w:shd w:val="clear" w:fill="FFFFFF"/>
        </w:rPr>
        <w:t>年报预增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840" w:right="840"/>
        <w:jc w:val="both"/>
      </w:pPr>
      <w:r>
        <w:rPr>
          <w:rFonts w:hint="eastAsia" w:ascii="Microsoft YaHei UI" w:hAnsi="Microsoft YaHei UI" w:eastAsia="Microsoft YaHei UI" w:cs="Microsoft YaHei UI"/>
          <w:i w:val="0"/>
          <w:caps w:val="0"/>
          <w:color w:val="3E3E3E"/>
          <w:spacing w:val="8"/>
          <w:sz w:val="25"/>
          <w:szCs w:val="25"/>
          <w:bdr w:val="none" w:color="auto" w:sz="0" w:space="0"/>
          <w:shd w:val="clear" w:fill="FFFFFF"/>
        </w:rPr>
        <w:t>银星能源、合金投资、富春股份、五洋停车、利达光电、中科新材、初灵信息、思特奇、申华控股</w:t>
      </w:r>
    </w:p>
    <w:p>
      <w:pPr>
        <w:rPr>
          <w:rFonts w:hint="eastAsia"/>
          <w:lang w:val="en-US" w:eastAsia="zh-CN"/>
        </w:rPr>
      </w:pPr>
    </w:p>
    <w:p>
      <w:pPr>
        <w:rPr>
          <w:rFonts w:hint="eastAsia"/>
          <w:lang w:val="en-US" w:eastAsia="zh-CN"/>
        </w:rPr>
      </w:pPr>
    </w:p>
    <w:p>
      <w:pPr>
        <w:rPr>
          <w:rFonts w:hint="eastAsia"/>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证监会发布科创板系列文件并公开征求意见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证监会发布科创板首次公开发行股票注册管理办法（试行）、科创板上市公司持续监管办法（试行）、《关于在上海证券交易所设立科创板并试点注册制的实施意见》。对于市场关注的投资门槛，意见稿中指出投资者准入门槛50万元，另外鼓励中小投资者通过公募基金参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21EAA"/>
          <w:spacing w:val="8"/>
          <w:sz w:val="22"/>
          <w:szCs w:val="22"/>
          <w:bdr w:val="none" w:color="auto" w:sz="0" w:space="0"/>
          <w:shd w:val="clear" w:fill="FFFFFF"/>
        </w:rPr>
        <w:t>交易细则这次除了没有T+0制度，其他都和预计差不多，一定会分流很多投机资金，比较连续5天没有涨跌停，之后20%，也是非常刺激的。对A股的分流资金影响还有待观察。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上交所：将科创板股票的涨跌幅限制放宽至20%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上交所发布就设立科创板并试点注册制相关配套业务规则公开征求意见的通知。科创企业具有投入大、迭代快等固有特点，股票价格容易发生较大波动。为此，在总结现有股票交易涨跌幅制度实施中的利弊得失基础上，将科创板股票的涨跌幅限制放宽至20%。此外，为尽快形成合理价格，新股上市后的前5个交易日不设涨跌幅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21EAA"/>
          <w:spacing w:val="8"/>
          <w:sz w:val="22"/>
          <w:szCs w:val="22"/>
          <w:bdr w:val="none" w:color="auto" w:sz="0" w:space="0"/>
          <w:shd w:val="clear" w:fill="FFFFFF"/>
        </w:rPr>
        <w:t>同上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上交所公布在科创板首次公开发行股票5套市值指标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发行人申请在本所科创板上市，市值及财务指标应当至少符合下列标准中的一项：（一）预计市值不低于人民币10亿元，最近两年净利润均为正且累计净利润不低于人民币5000万元，或者预计市值不低于人民币10亿元，最近一年净利润为正且营业收入不低于人民币1亿元；（二）预计市值不低于人民币15亿元，最近一年营业收入不低于人民币2亿元，且最近三年研发投入合计占最近三年营业收入的比例不低于15%；（三）预计市值不低于人民币20亿元，最近一年营业收入不低于人民币3亿元，且最近三年经营活动产生的现金流量净额累计不低于人民币1亿元；（四）预计市值不低于人民币30亿元，且最近一年营业收入不低于人民币3亿元；（五）预计市值不低于人民币40亿元，主要业务或产品需经国家有关部门批准，市场空间大，目前已取得阶段性成果，并获得知名投资机构一定金额的投资。医药行业企业需取得至少一项一类新药二期临床试验批件，其他符合科创板定位的企业需具备明显的技术优势并满足相应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21EAA"/>
          <w:spacing w:val="8"/>
          <w:sz w:val="22"/>
          <w:szCs w:val="22"/>
          <w:bdr w:val="none" w:color="auto" w:sz="0" w:space="0"/>
          <w:shd w:val="clear" w:fill="FFFFFF"/>
        </w:rPr>
        <w:t>好好看，对找寻科创板相关个股有很大帮助。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1月官方制造业PMI为49.5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我国2019年1月官方制造业PMI为49.5，预期49.3，前值为49.4。1月官方非制造业PMI为54.7，预期53.8，前值为53.8。1月份综合PMI产出指数报53.2，前值52.6。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21EAA"/>
          <w:spacing w:val="8"/>
          <w:sz w:val="22"/>
          <w:szCs w:val="22"/>
          <w:bdr w:val="none" w:color="auto" w:sz="0" w:space="0"/>
          <w:shd w:val="clear" w:fill="FFFFFF"/>
        </w:rPr>
        <w:t>再次低于荣枯值，经济不景气啊。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中米经贸高级别磋商在华盛顿开幕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当地时间1月30日上午，新一轮中美经贸高级别磋商开幕式在美国白宫艾森豪威尔行政办公楼举行，中米全面经济对话中方牵头人刘鹤，美国贸易代表莱特希泽，财政部长姆努钦等出席。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21EAA"/>
          <w:spacing w:val="8"/>
          <w:sz w:val="22"/>
          <w:szCs w:val="22"/>
          <w:bdr w:val="none" w:color="auto" w:sz="0" w:space="0"/>
          <w:shd w:val="clear" w:fill="FFFFFF"/>
        </w:rPr>
        <w:t>听说谈的很好，照片也拍的很帅气，刘大人正襟危坐有当年李鸿章之风。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彭博确认将中国债券纳入彭博巴克莱全球综合指数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人民币计价的中国国债和政策性银行债券将从2019年4月起被纳入彭博巴克莱全球综合指数，并将在20个月内分步完成。 此次纳入是中国人民银行、财政部和国家税务总局完善了数项配套措施的结果。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21EAA"/>
          <w:spacing w:val="8"/>
          <w:sz w:val="22"/>
          <w:szCs w:val="22"/>
          <w:bdr w:val="none" w:color="auto" w:sz="0" w:space="0"/>
          <w:shd w:val="clear" w:fill="FFFFFF"/>
        </w:rPr>
        <w:t>市场化和全球化是大势所趋，谁都阻挡不了。</w:t>
      </w:r>
    </w:p>
    <w:p>
      <w:pPr>
        <w:spacing w:line="240" w:lineRule="auto"/>
        <w:rPr>
          <w:rFonts w:hint="eastAsia"/>
          <w:lang w:val="en-US" w:eastAsia="zh-CN"/>
        </w:rPr>
      </w:pPr>
    </w:p>
    <w:p>
      <w:pPr>
        <w:pStyle w:val="2"/>
        <w:keepNext w:val="0"/>
        <w:keepLines w:val="0"/>
        <w:widowControl/>
        <w:suppressLineNumbers w:val="0"/>
        <w:shd w:val="clear" w:fill="FFFFFF"/>
        <w:ind w:left="0" w:firstLine="0"/>
        <w:jc w:val="both"/>
        <w:rPr>
          <w:rFonts w:ascii="微软雅黑" w:hAnsi="微软雅黑" w:eastAsia="微软雅黑" w:cs="微软雅黑"/>
          <w:i w:val="0"/>
          <w:caps w:val="0"/>
          <w:color w:val="393A4C"/>
          <w:spacing w:val="0"/>
          <w:sz w:val="28"/>
          <w:szCs w:val="28"/>
        </w:rPr>
      </w:pPr>
      <w:r>
        <w:rPr>
          <w:rStyle w:val="4"/>
          <w:rFonts w:hint="eastAsia" w:ascii="微软雅黑" w:hAnsi="微软雅黑" w:eastAsia="微软雅黑" w:cs="微软雅黑"/>
          <w:b/>
          <w:i w:val="0"/>
          <w:caps w:val="0"/>
          <w:color w:val="E53333"/>
          <w:spacing w:val="0"/>
          <w:sz w:val="28"/>
          <w:szCs w:val="28"/>
          <w:shd w:val="clear" w:fill="FFFFFF"/>
        </w:rPr>
        <w:t>证监会：扩大QFII和RQFII投资范围 可投资新三板股票、商品期货等</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证监会就《合格境外机构投资者及人民币合格境外机构投资者境内证券期货投资管理办法(征求意见稿)》及其配套规则公开征求意见。扩大投资范围，除原有品种外，QFII、RQFII还可投资：新三板股票；债券回购；私募投资基金；金融期货；商品期货；期权等。此外，允许参与证券交易所融资融券交易。合并两项制度，将QFII、RQFII两项制度合二为一，整合有关配套监管规定，形成统一的《管理办法》和《实施规定》。</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Style w:val="4"/>
          <w:rFonts w:hint="eastAsia" w:ascii="微软雅黑" w:hAnsi="微软雅黑" w:eastAsia="微软雅黑" w:cs="微软雅黑"/>
          <w:b/>
          <w:i w:val="0"/>
          <w:caps w:val="0"/>
          <w:color w:val="E53333"/>
          <w:spacing w:val="0"/>
          <w:sz w:val="28"/>
          <w:szCs w:val="28"/>
          <w:shd w:val="clear" w:fill="FFFFFF"/>
        </w:rPr>
        <w:t>证监会：拟取消“平仓线”不得低于130%的统一限制</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为进一步优化融资融券业务机制，提升证券公司自主管理能力，沪深交易所正在抓紧修订《融资融券交易实施细则》，拟取消“平仓线”不得低于130%的统一限制，交由证券公司根据客户资信、担保品质量和公司风险承受能力，与客户自主约定最低维持担保比例；同时，扩大担保物范围，进一步提高客户补充担保的灵活性。此外，为满足投资者对标的证券的多样化需求，沪深交易所正在研究扩大标的证券范围。</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ascii="微软雅黑" w:hAnsi="微软雅黑" w:eastAsia="微软雅黑" w:cs="微软雅黑"/>
          <w:b/>
          <w:sz w:val="22"/>
        </w:rPr>
        <w:t>明日计划：</w:t>
      </w:r>
      <w:bookmarkStart w:id="8" w:name="8130-1536542303665"/>
      <w:bookmarkEnd w:id="8"/>
      <w:bookmarkStart w:id="9" w:name="8598-1536542303673"/>
      <w:bookmarkEnd w:id="9"/>
    </w:p>
    <w:p>
      <w:pPr>
        <w:rPr>
          <w:rFonts w:hint="eastAsia"/>
          <w:lang w:val="en-US" w:eastAsia="zh-CN"/>
        </w:rPr>
      </w:pPr>
      <w:bookmarkStart w:id="10" w:name="6523-1536542303676"/>
      <w:bookmarkEnd w:id="10"/>
      <w:r>
        <w:rPr>
          <w:rFonts w:hint="eastAsia"/>
          <w:lang w:val="en-US" w:eastAsia="zh-CN"/>
        </w:rPr>
        <w:t>空仓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2月01日关注：</w:t>
      </w:r>
    </w:p>
    <w:p>
      <w:pPr>
        <w:rPr>
          <w:rFonts w:hint="eastAsia"/>
          <w:lang w:val="en-US" w:eastAsia="zh-CN"/>
        </w:rPr>
      </w:pPr>
    </w:p>
    <w:p>
      <w:pPr>
        <w:rPr>
          <w:rFonts w:hint="eastAsia"/>
          <w:lang w:val="en-US" w:eastAsia="zh-CN"/>
        </w:rPr>
      </w:pPr>
    </w:p>
    <w:p>
      <w:pPr>
        <w:rPr>
          <w:rFonts w:hint="eastAsia"/>
          <w:lang w:val="en-US" w:eastAsia="zh-CN"/>
        </w:rPr>
      </w:pPr>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9928-1536542303678"/>
      <w:bookmarkEnd w:id="11"/>
      <w:bookmarkStart w:id="12" w:name="8313-1536542303682"/>
      <w:bookmarkEnd w:id="12"/>
      <w:r>
        <w:rPr>
          <w:rFonts w:hint="eastAsia" w:ascii="方正粗黑宋简体" w:hAnsi="方正粗黑宋简体" w:eastAsia="方正粗黑宋简体" w:cs="方正粗黑宋简体"/>
          <w:lang w:val="en-US" w:eastAsia="zh-CN"/>
        </w:rPr>
        <w:t>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366353"/>
    <w:rsid w:val="124342D5"/>
    <w:rsid w:val="12450F97"/>
    <w:rsid w:val="124C637F"/>
    <w:rsid w:val="125C533A"/>
    <w:rsid w:val="125E6D9F"/>
    <w:rsid w:val="12703CF2"/>
    <w:rsid w:val="128E315B"/>
    <w:rsid w:val="129313C9"/>
    <w:rsid w:val="129B0032"/>
    <w:rsid w:val="129C4A43"/>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F5ABC"/>
    <w:rsid w:val="15C22954"/>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A0C8F"/>
    <w:rsid w:val="204C06AD"/>
    <w:rsid w:val="20583167"/>
    <w:rsid w:val="206A79AA"/>
    <w:rsid w:val="2078113D"/>
    <w:rsid w:val="2079721B"/>
    <w:rsid w:val="207C6EA9"/>
    <w:rsid w:val="20837656"/>
    <w:rsid w:val="2094409D"/>
    <w:rsid w:val="20A06974"/>
    <w:rsid w:val="20B176AD"/>
    <w:rsid w:val="20BF12E3"/>
    <w:rsid w:val="20C7334D"/>
    <w:rsid w:val="20FB5CAC"/>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2C47B0"/>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22818"/>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E5F38"/>
    <w:rsid w:val="2C01653C"/>
    <w:rsid w:val="2C174697"/>
    <w:rsid w:val="2C1A5864"/>
    <w:rsid w:val="2C2A1BC1"/>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6265EF"/>
    <w:rsid w:val="307642F8"/>
    <w:rsid w:val="307B6C06"/>
    <w:rsid w:val="307C2FD5"/>
    <w:rsid w:val="308472ED"/>
    <w:rsid w:val="30883BF5"/>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82323"/>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E029AA"/>
    <w:rsid w:val="34E038B6"/>
    <w:rsid w:val="34E2546A"/>
    <w:rsid w:val="34E30F0F"/>
    <w:rsid w:val="34F01269"/>
    <w:rsid w:val="35007CFC"/>
    <w:rsid w:val="351241C6"/>
    <w:rsid w:val="35151BB3"/>
    <w:rsid w:val="351F02B8"/>
    <w:rsid w:val="35212DC6"/>
    <w:rsid w:val="3543425C"/>
    <w:rsid w:val="35480EDF"/>
    <w:rsid w:val="35583B40"/>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02477"/>
    <w:rsid w:val="3C9D0BD3"/>
    <w:rsid w:val="3C9F1451"/>
    <w:rsid w:val="3CA5557B"/>
    <w:rsid w:val="3CAC1A05"/>
    <w:rsid w:val="3CB47B42"/>
    <w:rsid w:val="3CB851BD"/>
    <w:rsid w:val="3CBF2113"/>
    <w:rsid w:val="3CC15D23"/>
    <w:rsid w:val="3CC5059F"/>
    <w:rsid w:val="3CC5470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B38F8"/>
    <w:rsid w:val="3F911160"/>
    <w:rsid w:val="3FA47B82"/>
    <w:rsid w:val="3FB60A8F"/>
    <w:rsid w:val="3FD16542"/>
    <w:rsid w:val="3FD50823"/>
    <w:rsid w:val="3FE57A37"/>
    <w:rsid w:val="3FE6620E"/>
    <w:rsid w:val="40190984"/>
    <w:rsid w:val="401F1357"/>
    <w:rsid w:val="402D5AAC"/>
    <w:rsid w:val="403C756C"/>
    <w:rsid w:val="404B50D7"/>
    <w:rsid w:val="406358BC"/>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676CB"/>
    <w:rsid w:val="48C76242"/>
    <w:rsid w:val="48CE01C1"/>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536DD"/>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C54B2"/>
    <w:rsid w:val="5FE014D1"/>
    <w:rsid w:val="5FE36389"/>
    <w:rsid w:val="5FE73EAF"/>
    <w:rsid w:val="601B0C3B"/>
    <w:rsid w:val="60290442"/>
    <w:rsid w:val="603858FC"/>
    <w:rsid w:val="60396B20"/>
    <w:rsid w:val="60397D0D"/>
    <w:rsid w:val="603E4C08"/>
    <w:rsid w:val="60501874"/>
    <w:rsid w:val="605C34EC"/>
    <w:rsid w:val="606576DF"/>
    <w:rsid w:val="607B0F50"/>
    <w:rsid w:val="60866833"/>
    <w:rsid w:val="60A0766E"/>
    <w:rsid w:val="60A564FB"/>
    <w:rsid w:val="60A772D5"/>
    <w:rsid w:val="60AD3F87"/>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1F22BEA"/>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F55E54"/>
    <w:rsid w:val="68F9345B"/>
    <w:rsid w:val="690B3DB8"/>
    <w:rsid w:val="690C73C1"/>
    <w:rsid w:val="690E470A"/>
    <w:rsid w:val="69134165"/>
    <w:rsid w:val="69145543"/>
    <w:rsid w:val="69455631"/>
    <w:rsid w:val="69490E64"/>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B3AAE"/>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64</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2019-01-31T14:20:23Z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