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02</w:t>
      </w:r>
      <w:r>
        <w:rPr>
          <w:rFonts w:hint="eastAsia" w:ascii="微软雅黑" w:hAnsi="微软雅黑" w:eastAsia="微软雅黑" w:cs="微软雅黑"/>
          <w:sz w:val="22"/>
          <w:lang w:val="en-US" w:eastAsia="zh-CN"/>
        </w:rPr>
        <w:t>-11</w:t>
      </w:r>
      <w:bookmarkStart w:id="13" w:name="_GoBack"/>
      <w:bookmarkEnd w:id="13"/>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歌尔股份</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6.95</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7.32</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rPr>
                <w:rFonts w:hint="eastAsia" w:asciiTheme="minorEastAsia" w:hAnsiTheme="minorEastAsia" w:cstheme="minorEastAsia"/>
                <w:strike w:val="0"/>
                <w:dstrike w:val="0"/>
                <w:color w:val="auto"/>
                <w:sz w:val="21"/>
                <w:szCs w:val="21"/>
                <w:lang w:val="en-US" w:eastAsia="zh-CN"/>
              </w:rPr>
              <w:t>苹果概念股，看港股的02382,02018国内相关概念跟涨。下午才反应过来，买了个没有涨停的超跌二线蓝筹股</w:t>
            </w:r>
          </w:p>
          <w:p>
            <w:pPr>
              <w:keepNext w:val="0"/>
              <w:keepLines w:val="0"/>
              <w:widowControl/>
              <w:suppressLineNumbers w:val="0"/>
              <w:jc w:val="left"/>
              <w:textAlignment w:val="top"/>
              <w:rPr>
                <w:rFonts w:hint="eastAsia" w:asciiTheme="minorEastAsia" w:hAnsiTheme="minorEastAsia" w:cstheme="minorEastAsia"/>
                <w:strike w:val="0"/>
                <w:dstrike w:val="0"/>
                <w:color w:val="auto"/>
                <w:sz w:val="21"/>
                <w:szCs w:val="21"/>
                <w:lang w:val="en-US" w:eastAsia="zh-CN"/>
              </w:rPr>
            </w:pPr>
            <w:r>
              <w:drawing>
                <wp:inline distT="0" distB="0" distL="114300" distR="114300">
                  <wp:extent cx="2423795" cy="4677410"/>
                  <wp:effectExtent l="0" t="0" r="146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3795" cy="4677410"/>
                          </a:xfrm>
                          <a:prstGeom prst="rect">
                            <a:avLst/>
                          </a:prstGeom>
                          <a:noFill/>
                          <a:ln w="9525">
                            <a:noFill/>
                          </a:ln>
                        </pic:spPr>
                      </pic:pic>
                    </a:graphicData>
                  </a:graphic>
                </wp:inline>
              </w:drawing>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auto"/>
                <w:kern w:val="0"/>
                <w:sz w:val="21"/>
                <w:szCs w:val="21"/>
                <w:u w:val="none"/>
                <w:lang w:val="en-US" w:eastAsia="zh-CN" w:bidi="ar"/>
              </w:rPr>
            </w:pPr>
            <w:r>
              <w:rPr>
                <w:rFonts w:hint="eastAsia" w:asciiTheme="minorEastAsia" w:hAnsiTheme="minorEastAsia" w:cstheme="minorEastAsia"/>
                <w:b w:val="0"/>
                <w:i w:val="0"/>
                <w:strike w:val="0"/>
                <w:dstrike w:val="0"/>
                <w:color w:val="auto"/>
                <w:kern w:val="0"/>
                <w:sz w:val="21"/>
                <w:szCs w:val="21"/>
                <w:u w:val="none"/>
                <w:lang w:val="en-US" w:eastAsia="zh-CN" w:bidi="ar"/>
              </w:rPr>
              <w:t>500股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0"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111" w:type="dxa"/>
            <w:shd w:val="clear" w:color="auto" w:fill="D7D7D7" w:themeFill="background1" w:themeFillShade="D8"/>
            <w:vAlign w:val="center"/>
          </w:tcPr>
          <w:p>
            <w:pPr>
              <w:jc w:val="center"/>
              <w:rPr>
                <w:rFonts w:ascii="微软雅黑" w:hAnsi="微软雅黑" w:eastAsia="微软雅黑" w:cs="微软雅黑"/>
                <w:b/>
                <w:sz w:val="22"/>
              </w:rPr>
            </w:pPr>
          </w:p>
        </w:tc>
        <w:tc>
          <w:tcPr>
            <w:tcW w:w="1044" w:type="dxa"/>
            <w:shd w:val="clear" w:color="auto" w:fill="D7D7D7" w:themeFill="background1" w:themeFillShade="D8"/>
            <w:vAlign w:val="center"/>
          </w:tcPr>
          <w:p>
            <w:pPr>
              <w:jc w:val="center"/>
              <w:rPr>
                <w:rFonts w:ascii="微软雅黑" w:hAnsi="微软雅黑" w:eastAsia="微软雅黑" w:cs="微软雅黑"/>
                <w:b/>
                <w:sz w:val="22"/>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25</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911-1536542303635"/>
      <w:bookmarkEnd w:id="2"/>
      <w:bookmarkStart w:id="3" w:name="1096-1536542303639"/>
      <w:bookmarkEnd w:id="3"/>
      <w:bookmarkStart w:id="4" w:name="2151-1536542303645"/>
      <w:bookmarkEnd w:id="4"/>
      <w:bookmarkStart w:id="5" w:name="8416-1536542303643"/>
      <w:bookmarkEnd w:id="5"/>
      <w:bookmarkStart w:id="6" w:name="3677-1536542303641"/>
      <w:bookmarkEnd w:id="6"/>
      <w:bookmarkStart w:id="7" w:name="1227-1536542303637"/>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增加，两市共88家涨停；跌停5家。成交量方面，沪市成交1373亿元，深市成交1826亿元，两市总成交额约为3199亿元，较上一交易日放量258亿。盘面上猪肉、苹果概念、5G等板块涨幅居前；氟化工、银行、航运等板块跌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shd w:val="clear" w:fill="FFFFFF"/>
        <w:ind w:left="0" w:firstLine="0"/>
        <w:jc w:val="both"/>
        <w:rPr>
          <w:rFonts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【宏观要闻】</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Style w:val="4"/>
          <w:rFonts w:hint="eastAsia" w:ascii="微软雅黑" w:hAnsi="微软雅黑" w:eastAsia="微软雅黑" w:cs="微软雅黑"/>
          <w:b/>
          <w:i w:val="0"/>
          <w:caps w:val="0"/>
          <w:color w:val="E53333"/>
          <w:spacing w:val="0"/>
          <w:sz w:val="28"/>
          <w:szCs w:val="28"/>
          <w:shd w:val="clear" w:fill="FFFFFF"/>
        </w:rPr>
        <w:t>本周国常会：支持商业银行多渠道补充资本金</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李克强主持召开国务院常务会议，会议决定，支持商业银行多渠道补充资本金，进一步疏通货币政策传导机制，在坚持不搞“大水漫灌”的同时，促进加强对民营、小微企业等的金融支持。一是对商业银行，提高永续债发行审批效率，降低优先股、可转债等准入门槛，允许符合条件的银行同时发行多种资本补充工具。二是引入基金、年金等长期投资者参与银行增资扩股，支持商业银行理财子公司投资银行资本补充债券，鼓励外资金融机构参与债券市场交易。会议强调，资本金得到补充的商业银行要完善内部机制，提高对民营、小微企业贷款支持力度。</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Style w:val="4"/>
          <w:rFonts w:hint="eastAsia" w:ascii="微软雅黑" w:hAnsi="微软雅黑" w:eastAsia="微软雅黑" w:cs="微软雅黑"/>
          <w:b/>
          <w:i w:val="0"/>
          <w:caps w:val="0"/>
          <w:color w:val="E53333"/>
          <w:spacing w:val="0"/>
          <w:sz w:val="28"/>
          <w:szCs w:val="28"/>
          <w:shd w:val="clear" w:fill="FFFFFF"/>
        </w:rPr>
        <w:t>国常会：3月起对21个罕见病药品和4个原料药减按3%征收增值税</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李克强主持召开国务院常务会议，会议指出，一要加快完善癌症诊疗体系，发展“互联网+医疗”，提高基层医疗机构诊疗能力。二要加快境内外抗癌新药注册审批，满足患者急需。三要保障2000多万罕见病患者用药，从3月1日起，对首批21个罕见病药品和4个原料药，参照抗癌药对进口环节减按3%征收增值税，国内环节可选择按3%简易办法计征增值税。</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E53333"/>
          <w:spacing w:val="0"/>
          <w:sz w:val="28"/>
          <w:szCs w:val="28"/>
          <w:shd w:val="clear" w:fill="FFFFFF"/>
        </w:rPr>
        <w:t>证监会：上市公司应当于首次披露重组事项时向证券交易所提交内幕信息知情人名单</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证监会表示，上市公司应当于首次披露重组事项时向证券交易所提交内幕信息知情人名单。前述首次披露重组事项是指首次披露筹划重组、披露重组预案或披露重组报告书孰早时点。上市公司首次披露重组事项至披露重组报告书期间重组方案重大调整、终止重组的，或者首次披露重组事项未披露标的资产主要财务指标、预估值、拟定价等重要要素的，应当于披露重组方案重大变化或披露重要要素时补充提交内幕信息知情人名单。上市公司首次披露重组事项后股票交易异常波动的，证券交易所可以视情况要求上市公司更新内幕信息知情人名单。</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中国1月外汇储备30879.2亿美元</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中国1月外汇储备30879.2亿美元，环比增加152亿美元，为连续三个月增加，预期30800亿美元，前值30727.12亿美元。</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【资讯快报】</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E53333"/>
          <w:spacing w:val="0"/>
          <w:sz w:val="28"/>
          <w:szCs w:val="28"/>
          <w:shd w:val="clear" w:fill="FFFFFF"/>
        </w:rPr>
        <w:t>央行、证监会等联合发布金融服务乡村振兴指导意见</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E53333"/>
          <w:spacing w:val="0"/>
          <w:sz w:val="28"/>
          <w:szCs w:val="28"/>
          <w:shd w:val="clear" w:fill="FFFFFF"/>
        </w:rPr>
        <w:t>上海市政府一季度工作会：全力以赴实施好“三大任务、一大平台”</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国家电影局：春节档票房58.4亿 票房及满意度创新高</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监管部门拟对各人身险公司年金保险产品经营情况开展调研</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E53333"/>
          <w:spacing w:val="0"/>
          <w:sz w:val="28"/>
          <w:szCs w:val="28"/>
          <w:shd w:val="clear" w:fill="FFFFFF"/>
        </w:rPr>
        <w:t>中国1月新增贷款有望超2.9万亿元创历史新高 社融亦大幅反弹</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2019年首月广州一二手住宅成交面积同比均降</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b/>
          <w:i w:val="0"/>
          <w:caps w:val="0"/>
          <w:color w:val="2C50A9"/>
          <w:spacing w:val="0"/>
          <w:sz w:val="28"/>
          <w:szCs w:val="28"/>
          <w:u w:val="none"/>
          <w:shd w:val="clear" w:fill="FFFFFF"/>
        </w:rPr>
        <w:fldChar w:fldCharType="begin"/>
      </w:r>
      <w:r>
        <w:rPr>
          <w:rFonts w:hint="eastAsia" w:ascii="微软雅黑" w:hAnsi="微软雅黑" w:eastAsia="微软雅黑" w:cs="微软雅黑"/>
          <w:b/>
          <w:i w:val="0"/>
          <w:caps w:val="0"/>
          <w:color w:val="2C50A9"/>
          <w:spacing w:val="0"/>
          <w:sz w:val="28"/>
          <w:szCs w:val="28"/>
          <w:u w:val="none"/>
          <w:shd w:val="clear" w:fill="FFFFFF"/>
        </w:rPr>
        <w:instrText xml:space="preserve"> HYPERLINK "http://www.yuncaijing.com/quote/sz000568.html" \t "https://www.yuncaijing.com/news/_blank" </w:instrText>
      </w:r>
      <w:r>
        <w:rPr>
          <w:rFonts w:hint="eastAsia" w:ascii="微软雅黑" w:hAnsi="微软雅黑" w:eastAsia="微软雅黑" w:cs="微软雅黑"/>
          <w:b/>
          <w:i w:val="0"/>
          <w:caps w:val="0"/>
          <w:color w:val="2C50A9"/>
          <w:spacing w:val="0"/>
          <w:sz w:val="28"/>
          <w:szCs w:val="28"/>
          <w:u w:val="none"/>
          <w:shd w:val="clear" w:fill="FFFFFF"/>
        </w:rPr>
        <w:fldChar w:fldCharType="separate"/>
      </w:r>
      <w:r>
        <w:rPr>
          <w:rStyle w:val="8"/>
          <w:rFonts w:hint="eastAsia" w:ascii="微软雅黑" w:hAnsi="微软雅黑" w:eastAsia="微软雅黑" w:cs="微软雅黑"/>
          <w:b/>
          <w:i w:val="0"/>
          <w:caps w:val="0"/>
          <w:color w:val="2C50A9"/>
          <w:spacing w:val="0"/>
          <w:sz w:val="28"/>
          <w:szCs w:val="28"/>
          <w:u w:val="none"/>
          <w:shd w:val="clear" w:fill="FFFFFF"/>
        </w:rPr>
        <w:t>泸州老窖(000568)</w:t>
      </w:r>
      <w:r>
        <w:rPr>
          <w:rFonts w:hint="eastAsia" w:ascii="微软雅黑" w:hAnsi="微软雅黑" w:eastAsia="微软雅黑" w:cs="微软雅黑"/>
          <w:b/>
          <w:i w:val="0"/>
          <w:caps w:val="0"/>
          <w:color w:val="2C50A9"/>
          <w:spacing w:val="0"/>
          <w:sz w:val="28"/>
          <w:szCs w:val="2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"https://www.yuncaijing.com/quote/sz000568_multi.html"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28"/>
          <w:szCs w:val="28"/>
          <w:shd w:val="clear" w:fill="FFFFFF"/>
        </w:rPr>
        <w:t>全系产品继续停货</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广电总局升级网络视听节目备案系统：两次备案、公示</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ascii="微软雅黑" w:hAnsi="微软雅黑" w:eastAsia="微软雅黑" w:cs="微软雅黑"/>
          <w:b/>
          <w:sz w:val="22"/>
        </w:rPr>
        <w:t>明日计划：</w:t>
      </w:r>
      <w:bookmarkStart w:id="8" w:name="8598-1536542303673"/>
      <w:bookmarkEnd w:id="8"/>
      <w:bookmarkStart w:id="9" w:name="8130-1536542303665"/>
      <w:bookmarkEnd w:id="9"/>
    </w:p>
    <w:p>
      <w:pPr>
        <w:rPr>
          <w:rFonts w:hint="eastAsia"/>
          <w:lang w:val="en-US" w:eastAsia="zh-CN"/>
        </w:rPr>
      </w:pPr>
      <w:bookmarkStart w:id="10" w:name="6523-1536542303676"/>
      <w:bookmarkEnd w:id="10"/>
      <w:r>
        <w:rPr>
          <w:rFonts w:hint="eastAsia"/>
          <w:lang w:val="en-US" w:eastAsia="zh-CN"/>
        </w:rPr>
        <w:t>歌尔股份做T，低开买入，走高卖出，保持仓位不变。高开不追！！！</w:t>
      </w:r>
    </w:p>
    <w:p>
      <w:pPr>
        <w:rPr>
          <w:rFonts w:hint="eastAsia"/>
          <w:lang w:val="en-US" w:eastAsia="zh-CN"/>
        </w:rPr>
      </w:pPr>
    </w:p>
    <w:p>
      <w:pPr>
        <w:rPr>
          <w:rFonts w:hint="eastAsia"/>
          <w:lang w:val="en-US" w:eastAsia="zh-CN"/>
        </w:rPr>
      </w:pPr>
      <w:r>
        <w:rPr>
          <w:rFonts w:hint="eastAsia"/>
          <w:lang w:val="en-US" w:eastAsia="zh-CN"/>
        </w:rPr>
        <w:t>2月12日关注：</w:t>
      </w:r>
    </w:p>
    <w:p>
      <w:pPr>
        <w:rPr>
          <w:rFonts w:hint="eastAsia"/>
          <w:lang w:val="en-US" w:eastAsia="zh-CN"/>
        </w:rPr>
      </w:pPr>
      <w:r>
        <w:rPr>
          <w:rFonts w:hint="eastAsia"/>
          <w:lang w:val="en-US" w:eastAsia="zh-CN"/>
        </w:rPr>
        <w:t>歌尔股份</w:t>
      </w:r>
    </w:p>
    <w:p>
      <w:pPr>
        <w:rPr>
          <w:rFonts w:hint="eastAsia"/>
          <w:lang w:val="en-US" w:eastAsia="zh-CN"/>
        </w:rPr>
      </w:pP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8313-1536542303682"/>
      <w:bookmarkEnd w:id="11"/>
      <w:bookmarkStart w:id="12" w:name="9928-1536542303678"/>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366353"/>
    <w:rsid w:val="124342D5"/>
    <w:rsid w:val="12450F97"/>
    <w:rsid w:val="124C637F"/>
    <w:rsid w:val="125C533A"/>
    <w:rsid w:val="125E6D9F"/>
    <w:rsid w:val="12703CF2"/>
    <w:rsid w:val="128E315B"/>
    <w:rsid w:val="129313C9"/>
    <w:rsid w:val="129B0032"/>
    <w:rsid w:val="129C4A43"/>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F5ABC"/>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A79AA"/>
    <w:rsid w:val="2078113D"/>
    <w:rsid w:val="2079721B"/>
    <w:rsid w:val="207C6EA9"/>
    <w:rsid w:val="20837656"/>
    <w:rsid w:val="2094409D"/>
    <w:rsid w:val="20A06974"/>
    <w:rsid w:val="20B176AD"/>
    <w:rsid w:val="20BF12E3"/>
    <w:rsid w:val="20C7334D"/>
    <w:rsid w:val="20FB5CAC"/>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2C47B0"/>
    <w:rsid w:val="2541038B"/>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22818"/>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83BF5"/>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56E56"/>
    <w:rsid w:val="33C82323"/>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E029AA"/>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52431"/>
    <w:rsid w:val="3F8B38F8"/>
    <w:rsid w:val="3F91116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536DD"/>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64EF9"/>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1F22BEA"/>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1F61AF"/>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C62"/>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110</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2019-02-11T18:05:01Z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