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4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歌尔股份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6.95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7.32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苹果概念股，早盘跌得比较厉害，卖出获利为佳。后期等回调再做考虑。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421255" cy="401955"/>
                  <wp:effectExtent l="0" t="0" r="17145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255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飞凯材料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15.61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17.09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等待回踩，预判现在还不能马上突破。另外大盘目前乖离过大，有调整需求。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417445" cy="2088515"/>
                  <wp:effectExtent l="0" t="0" r="190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208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2151-1536542303645"/>
      <w:bookmarkEnd w:id="3"/>
      <w:bookmarkStart w:id="4" w:name="3677-1536542303641"/>
      <w:bookmarkEnd w:id="4"/>
      <w:bookmarkStart w:id="5" w:name="1227-1536542303637"/>
      <w:bookmarkEnd w:id="5"/>
      <w:bookmarkStart w:id="6" w:name="8416-1536542303643"/>
      <w:bookmarkEnd w:id="6"/>
      <w:bookmarkStart w:id="7" w:name="1096-1536542303639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55家涨停；跌停2家。成交量方面，沪市成交1703亿元，深市成交2472亿元，两市总成交额约为4175元，较上一交易日缩量566亿元。盘面上知识产权保护、白酒、OLED等板块涨幅居前，银行、智能音箱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我国1月出口同比涨13.9% 大超预期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以人民币计，我国1月出口同比涨13.9%，预估3.8%，前值0.2%。1月进口同比2.9%，预估为-1.9%，前值为-3.1%。今年1月份，我国货物贸易进出口总值2.73万亿元人民币，比去年同期增长8.7%。贸易顺差2711.6亿元，扩大1.2倍。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进出口的问题，之前提过，是受到资产价格上涨和汇率的变动所致。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新一轮中美经贸高级别磋商在京开幕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2月14日上午，刘鹤与美国贸易代表莱特希泽、财政部长姆努钦共同主持中美经贸高级别磋商开幕式。本轮高级别磋商定于14-15日在北京举行。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对中米的未来，我一直持有比较乐观积极的态度，如果形成中国版“广场协定”那么房价将受到挑战，股市将带来利好。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3" w:name="_GoBack"/>
      <w:bookmarkEnd w:id="13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130-1536542303665"/>
      <w:bookmarkEnd w:id="8"/>
      <w:bookmarkStart w:id="9" w:name="8598-1536542303673"/>
      <w:bookmarkEnd w:id="9"/>
      <w:bookmarkStart w:id="10" w:name="6523-1536542303676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2月1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日关注：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彩虹股份、领益智造、东材科技、维信诺、华映科技、隆华科技、智云股份、凯盛科技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48180"/>
            <wp:effectExtent l="0" t="0" r="95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9928-1536542303678"/>
      <w:bookmarkEnd w:id="11"/>
      <w:bookmarkStart w:id="12" w:name="8313-1536542303682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F5ABC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22818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2019-02-14T14:53:10Z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