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8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9.21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10.55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下跌ABC浪完成，开始反弹。同类型汇川技术反弹已经到了中间价位，他还没完全启动。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2911-1536542303635"/>
      <w:bookmarkEnd w:id="3"/>
      <w:bookmarkStart w:id="4" w:name="2151-1536542303645"/>
      <w:bookmarkEnd w:id="4"/>
      <w:bookmarkStart w:id="5" w:name="1096-1536542303639"/>
      <w:bookmarkEnd w:id="5"/>
      <w:bookmarkStart w:id="6" w:name="1227-1536542303637"/>
      <w:bookmarkEnd w:id="6"/>
      <w:bookmarkStart w:id="7" w:name="3677-1536542303641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减少，两市83家涨停；跌停1家。成交量方面，沪市成交2471亿元，深市成交3587亿元，两市总成交额约为60585477元，较上一交易日放量581亿元。盘面上保险、粤港澳、柔性屏等板块涨幅居前，白酒、石墨电极、无线充电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r>
        <w:rPr>
          <w:rFonts w:hint="eastAsia"/>
        </w:rPr>
        <w:t>【宏观要闻】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中共中央、国务院关于坚持农业农村优先发展做好“三农”工作的若干意见</w:t>
      </w:r>
    </w:p>
    <w:p>
      <w:pPr>
        <w:rPr>
          <w:rFonts w:hint="eastAsia"/>
        </w:rPr>
      </w:pPr>
      <w:r>
        <w:rPr>
          <w:rFonts w:hint="eastAsia"/>
        </w:rPr>
        <w:t>意见指出，实施大豆振兴计划，多途径扩大种植面积。支持长江流域油菜生产，推进新品种新技术示范推广和全程机械化。积极发展木本油料。实施奶业振兴行动，加强优质奶源基地建设，升级改造中小奶牛养殖场，实施婴幼儿配方奶粉提升行动。</w:t>
      </w:r>
    </w:p>
    <w:p>
      <w:pPr>
        <w:rPr>
          <w:rFonts w:hint="eastAsia"/>
        </w:rPr>
      </w:pPr>
      <w:r>
        <w:rPr>
          <w:rFonts w:hint="eastAsia"/>
        </w:rPr>
        <w:t>意见指出，加快突破农业关键核心技术，培育一批农业战略，科技创新力量，推动生物种业，重型农机，智慧农业，绿色投入品等领域自主创新。支持薄弱环节适用农机研发，促进农机装备产业转型升级，加快推进农业机械化。</w:t>
      </w:r>
    </w:p>
    <w:p>
      <w:pPr>
        <w:rPr>
          <w:rFonts w:hint="eastAsia"/>
        </w:rPr>
      </w:pPr>
      <w:r>
        <w:rPr>
          <w:rFonts w:hint="eastAsia"/>
        </w:rPr>
        <w:t>意见指出，实施数字乡村战略，促进农村劳动力转移就业，支持乡村创新创业。深化农村土地制度改革，深入推进农村集体产权制度改革，完善农业支持保护制度，加快构建新型农业补贴政策体系。大力发展现代农产品加工业，统筹农产品产地、集散地、销地批发市场建设，加强农产品物流骨干网络和冷链物</w:t>
      </w:r>
      <w:bookmarkStart w:id="13" w:name="_GoBack"/>
      <w:bookmarkEnd w:id="13"/>
      <w:r>
        <w:rPr>
          <w:rFonts w:hint="eastAsia"/>
        </w:rPr>
        <w:t>流体系建设</w:t>
      </w:r>
    </w:p>
    <w:p>
      <w:pPr>
        <w:rPr>
          <w:rFonts w:hint="eastAsia"/>
        </w:rPr>
      </w:pPr>
      <w:r>
        <w:rPr>
          <w:rFonts w:hint="eastAsia"/>
        </w:rPr>
        <w:t>意见指出，确保粮食播种面积稳定在16.5亿亩，严守18亿亩耕地红线，全面落实永久基本农田特殊保护制度，确保永久基本农田保持在15.46亿亩以上。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【资讯快报】</w:t>
      </w:r>
    </w:p>
    <w:p>
      <w:pPr>
        <w:rPr>
          <w:rFonts w:hint="eastAsia"/>
        </w:rPr>
      </w:pPr>
      <w:r>
        <w:rPr>
          <w:rFonts w:hint="eastAsia"/>
        </w:rPr>
        <w:t>上周新增投资者数20.66万，前值18.91万，环比增加9.25%</w:t>
      </w:r>
    </w:p>
    <w:p>
      <w:pPr>
        <w:rPr>
          <w:rFonts w:hint="eastAsia"/>
        </w:rPr>
      </w:pPr>
      <w:r>
        <w:rPr>
          <w:rFonts w:hint="eastAsia"/>
        </w:rPr>
        <w:t>阿里巴巴入股中金公司 持有其H股比例升至11.74%</w:t>
      </w:r>
    </w:p>
    <w:p>
      <w:pPr>
        <w:rPr>
          <w:rFonts w:hint="eastAsia"/>
        </w:rPr>
      </w:pPr>
      <w:r>
        <w:rPr>
          <w:rFonts w:hint="eastAsia"/>
        </w:rPr>
        <w:t>燕郊楼市又变脸？“房价对折无人买”回到“想买只能排队”</w:t>
      </w:r>
    </w:p>
    <w:p>
      <w:pPr>
        <w:rPr>
          <w:rFonts w:hint="eastAsia"/>
        </w:rPr>
      </w:pPr>
      <w:r>
        <w:rPr>
          <w:rFonts w:hint="eastAsia"/>
        </w:rPr>
        <w:t>银保监会：2018年末商业银行核心一级资本充足率11.03% 同比上升0.28%</w:t>
      </w:r>
    </w:p>
    <w:p>
      <w:pPr>
        <w:rPr>
          <w:rFonts w:hint="eastAsia"/>
        </w:rPr>
      </w:pPr>
      <w:r>
        <w:rPr>
          <w:rFonts w:hint="eastAsia"/>
        </w:rPr>
        <w:t>外交部：希望中美双方努力达成一个双方都能接受、互利共赢的协议</w:t>
      </w:r>
    </w:p>
    <w:p>
      <w:pPr>
        <w:rPr>
          <w:rFonts w:hint="eastAsia"/>
        </w:rPr>
      </w:pPr>
      <w:r>
        <w:rPr>
          <w:rFonts w:hint="eastAsia"/>
        </w:rPr>
        <w:t>中国1月央行口径外汇占款余额21.3万亿元，环比减少12.14亿元人民币</w:t>
      </w:r>
    </w:p>
    <w:p>
      <w:pPr>
        <w:rPr>
          <w:rFonts w:hint="eastAsia"/>
        </w:rPr>
      </w:pPr>
      <w:r>
        <w:rPr>
          <w:rFonts w:hint="eastAsia"/>
        </w:rPr>
        <w:t>深交所：全力支持粤港澳大湾区建设</w:t>
      </w:r>
    </w:p>
    <w:p>
      <w:pPr>
        <w:rPr>
          <w:rFonts w:hint="eastAsia"/>
        </w:rPr>
      </w:pPr>
      <w:r>
        <w:rPr>
          <w:rFonts w:hint="eastAsia"/>
        </w:rPr>
        <w:t>北向资金连续15日净买入A股 今日净流入18.85亿元</w:t>
      </w:r>
    </w:p>
    <w:p>
      <w:pPr>
        <w:rPr>
          <w:rFonts w:hint="eastAsia"/>
        </w:rPr>
      </w:pPr>
      <w:r>
        <w:rPr>
          <w:rFonts w:hint="eastAsia"/>
        </w:rPr>
        <w:t>特斯拉2018年在华销售额17.57亿美元 同比下降15.4%</w:t>
      </w:r>
    </w:p>
    <w:p>
      <w:pPr>
        <w:spacing w:line="240" w:lineRule="auto"/>
        <w:rPr>
          <w:rFonts w:ascii="微软雅黑" w:hAnsi="微软雅黑" w:eastAsia="微软雅黑" w:cs="微软雅黑"/>
          <w:b w:val="0"/>
          <w:bCs/>
          <w:sz w:val="22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6523-1536542303676"/>
      <w:bookmarkEnd w:id="8"/>
      <w:bookmarkStart w:id="9" w:name="8130-1536542303665"/>
      <w:bookmarkEnd w:id="9"/>
      <w:bookmarkStart w:id="10" w:name="8598-1536542303673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2月1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日关注：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彩虹股份</w:t>
      </w:r>
      <w:r>
        <w:rPr>
          <w:rFonts w:hint="eastAsia"/>
          <w:lang w:val="en-US" w:eastAsia="zh-CN"/>
        </w:rPr>
        <w:t>（+7.32%）</w:t>
      </w:r>
      <w:r>
        <w:rPr>
          <w:rFonts w:hint="default"/>
          <w:lang w:val="en-US" w:eastAsia="zh-CN"/>
        </w:rPr>
        <w:t>、领益智造</w:t>
      </w:r>
      <w:r>
        <w:rPr>
          <w:rFonts w:hint="eastAsia"/>
          <w:lang w:val="en-US" w:eastAsia="zh-CN"/>
        </w:rPr>
        <w:t>（+9.90%）</w:t>
      </w:r>
      <w:r>
        <w:rPr>
          <w:rFonts w:hint="default"/>
          <w:lang w:val="en-US" w:eastAsia="zh-CN"/>
        </w:rPr>
        <w:t>、东材科技(+9.94%)、维信诺(+10.02%)、华映科技(-5.79%)、隆华科技(-2.81%)、智云股份(+2.90%)、凯盛科技(+10.08%)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月19日关注：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洁美科技、三丰智能、明泰铝业、奥士康、比音勒芬、天原集团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8313-1536542303682"/>
      <w:bookmarkEnd w:id="11"/>
      <w:bookmarkStart w:id="12" w:name="9928-1536542303678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F5ABC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446001"/>
    <w:rsid w:val="26496B30"/>
    <w:rsid w:val="2654390B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22818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F01269"/>
    <w:rsid w:val="35007CFC"/>
    <w:rsid w:val="351241C6"/>
    <w:rsid w:val="35151BB3"/>
    <w:rsid w:val="35194E02"/>
    <w:rsid w:val="351F02B8"/>
    <w:rsid w:val="35212DC6"/>
    <w:rsid w:val="3543425C"/>
    <w:rsid w:val="35480EDF"/>
    <w:rsid w:val="35583B40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2E7B01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0E2CED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2019-02-19T14:38:36Z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