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20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下跌ABC浪完成，开始反弹。同类型汇川技术反弹已经到了中间价位，他还没完全启动。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2911-1536542303635"/>
      <w:bookmarkEnd w:id="3"/>
      <w:bookmarkStart w:id="4" w:name="1096-1536542303639"/>
      <w:bookmarkEnd w:id="4"/>
      <w:bookmarkStart w:id="5" w:name="1227-1536542303637"/>
      <w:bookmarkEnd w:id="5"/>
      <w:bookmarkStart w:id="6" w:name="3677-1536542303641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66家涨停；跌停0家。成交量方面，沪市成交2054亿元，深市成交2938亿元，两市总成交额约为4992元，较上一交易日缩量1066亿元。盘面上，养殖业、乳业、机场航运等板块涨幅居前，保险、国产软件、芯片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主动扩大国内紧缺农产品进口 拓展多元化进口渠道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《关于坚持农业农村优先发展做好“三农”工作的若干意见》指出，实施重要农产品保障战略。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主动扩大国内紧缺农产品进口，拓展多元化进口渠道，培育一批跨国农业企业集团，提高农业对外合作水平，培育一批跨国农业企业，给人带来无限遐想啊，那么就可以理解，为什么猪肉鸡肉农林牧渔最近涨那么好了，原来都是提前布局二会题材，其实每年3月都有一波农业的，只是你不知道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深化农村土地制度改革 深入推进农村集体产权制度改革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《关于坚持农业农村优先发展做好“三农”工作的若干意见》指出，实施数字乡村战略，促进农村劳动力转移就业，支持乡村创新创业。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对于农村土地制度改革，这是一直在做的，未来都是城市户口，城市与城市之间那种不公平的户籍制度，我相信，终有一天会取消，大家都是平等的中国人，许多人出生就不公平了的现象，会逐步取消，这是也未来之趋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实施大豆振兴计划和奶业振兴行动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发布关于坚持农业农村优先发展做好“三农”工作的若干意见。意见指出，实施奶业振兴行动，加强优质奶源基地建设，升级改造中小奶牛养殖场，实施婴幼儿配方奶粉提升行动。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这个我昨天就说了，中国之大，安能容不下一个奶瓶？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央行开展首次15亿元央票互换：期限1年费率0.25%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为提升银行永续债的市场流动性，支持银行发行永续债补充资本，增强金融支持实体经济的能力，2019年2月20日中国人民银行开展了首次央行票据互换(CBS)操作，费率为0.25%，操作量为15亿元，期限1年。 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央行开展CBS操作是“以券换券”，不涉及基础货币吞吐，对银行体系流动性的影响中性。操作中，银行永续债的所有权不发生转移，仍在一级交易商表内，信用风险由一级交易商承担。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北上资金疯狂买入 今年以来净流入金额突破1000亿元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数据显示，今日北向资金净流入51.79亿元，为连续第16个交易日净流入。1月份以来，沪股通、深股通资金累计净流入金额达到1037.70亿元。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4"/>
          <w:szCs w:val="24"/>
          <w:bdr w:val="none" w:color="auto" w:sz="0" w:space="0"/>
          <w:shd w:val="clear" w:fill="FFFFFF"/>
        </w:rPr>
        <w:t>融资融券和北上外资是这波的主导者，也是未来价格的制定者，关注好这两项，你就立于本轮行情的不败之地。</w:t>
      </w: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  <w:bookmarkStart w:id="13" w:name="_GoBack"/>
      <w:bookmarkEnd w:id="13"/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6523-1536542303676"/>
      <w:bookmarkEnd w:id="8"/>
      <w:bookmarkStart w:id="9" w:name="8130-1536542303665"/>
      <w:bookmarkEnd w:id="9"/>
      <w:bookmarkStart w:id="10" w:name="8598-1536542303673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</w:t>
      </w:r>
      <w:r>
        <w:rPr>
          <w:rFonts w:hint="eastAsia"/>
          <w:lang w:val="en-US" w:eastAsia="zh-CN"/>
        </w:rPr>
        <w:t>（+7.32%）</w:t>
      </w:r>
      <w:r>
        <w:rPr>
          <w:rFonts w:hint="default"/>
          <w:lang w:val="en-US" w:eastAsia="zh-CN"/>
        </w:rPr>
        <w:t>、领益智造</w:t>
      </w:r>
      <w:r>
        <w:rPr>
          <w:rFonts w:hint="eastAsia"/>
          <w:lang w:val="en-US" w:eastAsia="zh-CN"/>
        </w:rPr>
        <w:t>（+9.90%）</w:t>
      </w:r>
      <w:r>
        <w:rPr>
          <w:rFonts w:hint="default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月19日关注：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446001"/>
    <w:rsid w:val="26496B30"/>
    <w:rsid w:val="2654390B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2E7B01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2019-02-20T16:53:38Z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