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8</w:t>
      </w:r>
      <w:bookmarkStart w:id="13" w:name="_GoBack"/>
      <w:bookmarkEnd w:id="13"/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大盘下跌，开盘等待恐慌性抛盘卖完，-2%再买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新疆交建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33.08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38.07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开盘-5%卖出，然后做T在-7%买入，结果尾盘跌停，利润所剩不多了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梅雁吉祥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3.96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  <w:t>妖股看筹码分布，下峰不移，上方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ST冠幅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1.83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2.51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  <w:t>低价庄股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2911-1536542303635"/>
      <w:bookmarkEnd w:id="3"/>
      <w:bookmarkStart w:id="4" w:name="1096-1536542303639"/>
      <w:bookmarkEnd w:id="4"/>
      <w:bookmarkStart w:id="5" w:name="2151-1536542303645"/>
      <w:bookmarkEnd w:id="5"/>
      <w:bookmarkStart w:id="6" w:name="8416-1536542303643"/>
      <w:bookmarkEnd w:id="6"/>
      <w:bookmarkStart w:id="7" w:name="1227-1536542303637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今天涨停家数较上一交易日有所减少，两市70家涨停；跌停243家。成交量方面，沪市成交5256亿元，深市成交6585亿元，两市总成交额约为11841元，较上一交易日放量175亿元。盘面上养鸡、猪肉等板块涨幅居前，券商、保险、西安自贸区等板块收绿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22"/>
          <w:szCs w:val="22"/>
          <w:shd w:val="clear" w:fill="FFFFFF"/>
        </w:rPr>
        <w:t>本周证监会例会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证监会新闻发言人常德鹏3月8日表示，证监会对3宗案件作出行政处罚。包括对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instrText xml:space="preserve"> HYPERLINK "http://www.yuncaijing.com/quote/sh600078.html"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t>澄星股份(600078)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instrText xml:space="preserve"> HYPERLINK "https://www.yuncaijing.com/quote/sh600078_multi.html"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t>[AI决策]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信息披露违法违规案件作出行政处罚，对大信事务所未勤勉尽责案作出行政处罚。吉林证监局对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instrText xml:space="preserve"> HYPERLINK "http://www.yuncaijing.com/quote/sz002622.html"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t>融钰集团(002622)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instrText xml:space="preserve"> HYPERLINK "https://www.yuncaijing.com/quote/sz002622_multi.html" \t "https://www.yuncaijing.com/news/_blank"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t>[AI决策]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50A9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信息披露违法违规案作出行政处罚。证监会将持续加强监管执法力度，依法对各类信息披露违法行为予以严厉打击，督促信息披露义务人及各类中介机构切实履行法定义务，依法规范市场秩序，切实保障投资者合法权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证监会新闻发言人常德鹏3月8日表示，近日，证监会核准IMF人民币合格境外机构投资者资格，境外资金投资中国资本市场有利于进一步扩大中国资本市场开放，助推人民币国际化，体现了国际投资者对中国资本市场的信心，欢迎国际金融组织，主权基金进一步投资中国资本市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关于今日市场表现，证监会新闻发言人表示，不做评论，证监会将履行好监管职责，促进市场健康稳定发展。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22"/>
          <w:szCs w:val="22"/>
          <w:shd w:val="clear" w:fill="FFFFFF"/>
        </w:rPr>
        <w:t>全国人大将落实制定房地产税法、修改证券法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十三届全国人大二次会议召开第二次全体会议，全国人大常委会委员长栗战书表示，今年要抓紧制定修改深化市场化改革、扩大高水平开放急需的法律，加快推进民生、国家安全、知识产权保护、社会治理、生态文明建设等领域的立法，落实税收法定原则，完善国家机构有关法律制度。集中力量落实好党中央确定的重大立法事项，包括审议民法典，制定基本医疗卫生与健康促进法、房地产税法，修改证券法、全国人民代表大会议事规则，生物安全法、长江保护法等立法调研、起草，都要加紧工作，确保如期完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中国人民银行金融科技(FinTech)委员会召开2019年第一次会议，研究出台金融科技发展规划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会议强调，一是研究出台金融科技发展规划，明确金融科技发展目标、重点方向和主要任务，加强统筹布局与行业指导。二是逐步建立金融科技监管规则体系，完善创新管理机制，营造有利于金融科技发展的良性政策环境。三是聚焦央行履职与行业发展，发挥全系统和社会力量深化金融科技基础性研究，凝聚形成产学研用发展合力。四是充分运用金融科技手段优化信贷流程和客户评价模型，降低企业融资成本，纾解民营企业、小微企业融资难融资贵问题，增强金融服务实体经济能力。五是持续强化监管科技应用，提升风险态势感知和技防能力，增强金融监管的专业性、统一性和穿透性，坚决守住不发生系统性金融风险的底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22"/>
          <w:szCs w:val="22"/>
          <w:shd w:val="clear" w:fill="FFFFFF"/>
        </w:rPr>
        <w:t>习近平：现代农村是一片大有可为的土地、希望的田野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2"/>
          <w:szCs w:val="22"/>
          <w:shd w:val="clear" w:fill="FFFFFF"/>
        </w:rPr>
        <w:t>8日上午，习近平总书记在参加河南代表团审议时说，农业农村发展要用好深化改革这个法宝。现在，城乡之间人才、资本等要素的自由流动越来越活跃。不仅本土大学生返乡多了，很多海归也到乡村去寻找创业机会。现代农业发展空间仍然很大，现代农村是一片大有可为的土地、希望的田野。</w:t>
      </w: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130-1536542303665"/>
      <w:bookmarkEnd w:id="8"/>
      <w:bookmarkStart w:id="9" w:name="6523-1536542303676"/>
      <w:bookmarkEnd w:id="9"/>
      <w:bookmarkStart w:id="10" w:name="8598-1536542303673"/>
      <w:bookmarkEnd w:id="10"/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03月06日关注：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德新交运、派生科技、四川长虹、飞乐音响、新疆交建、捷成股份</w:t>
      </w:r>
      <w:r>
        <w:rPr>
          <w:rFonts w:hint="eastAsia"/>
          <w:strike w:val="0"/>
          <w:dstrike w:val="0"/>
          <w:lang w:val="en-US" w:eastAsia="zh-CN"/>
        </w:rPr>
        <w:br w:type="textWrapping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>03</w:t>
      </w:r>
      <w:r>
        <w:rPr>
          <w:rFonts w:hint="eastAsia"/>
          <w:strike w:val="0"/>
          <w:dstrike w:val="0"/>
          <w:lang w:val="en-US" w:eastAsia="zh-CN"/>
        </w:rPr>
        <w:t>月07日关注：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埃斯顿换一半到：德新交运、新疆交建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drawing>
          <wp:inline distT="0" distB="0" distL="114300" distR="114300">
            <wp:extent cx="5271135" cy="23996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03月08日关注：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埃斯顿，卖光，其他换到：德新交运（200股）、新疆交建（100股）。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其他股票：梅雁吉祥、合锻智能、ST冠幅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03月11日关注：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梅雁吉祥、新疆交建、ST冠幅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20236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0751BC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86695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8D7A67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6F50281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2293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20B9D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6B5A83"/>
    <w:rsid w:val="12703CF2"/>
    <w:rsid w:val="128E315B"/>
    <w:rsid w:val="129313C9"/>
    <w:rsid w:val="129B0032"/>
    <w:rsid w:val="129B5009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755A3A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9090A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5E7A27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46157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3248E"/>
    <w:rsid w:val="206A79AA"/>
    <w:rsid w:val="2078113D"/>
    <w:rsid w:val="2079721B"/>
    <w:rsid w:val="207C6EA9"/>
    <w:rsid w:val="20837656"/>
    <w:rsid w:val="2094409D"/>
    <w:rsid w:val="20A06974"/>
    <w:rsid w:val="20A50BB0"/>
    <w:rsid w:val="20B176AD"/>
    <w:rsid w:val="20BF12E3"/>
    <w:rsid w:val="20C7334D"/>
    <w:rsid w:val="20FB5CAC"/>
    <w:rsid w:val="210B33AA"/>
    <w:rsid w:val="210C0C9A"/>
    <w:rsid w:val="210E29F2"/>
    <w:rsid w:val="211018D5"/>
    <w:rsid w:val="211139C8"/>
    <w:rsid w:val="21147C92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5F7071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6F7729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7756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167F0E"/>
    <w:rsid w:val="252A3C30"/>
    <w:rsid w:val="252C47B0"/>
    <w:rsid w:val="253528DA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EE0B38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8F91689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2757F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BF16B7A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64D9B"/>
    <w:rsid w:val="2ED912C5"/>
    <w:rsid w:val="2EDC5069"/>
    <w:rsid w:val="2EE9767A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33286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84F1F"/>
    <w:rsid w:val="308927E7"/>
    <w:rsid w:val="30911BD5"/>
    <w:rsid w:val="30966796"/>
    <w:rsid w:val="30A83E2F"/>
    <w:rsid w:val="30BE10FD"/>
    <w:rsid w:val="30BF319F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492D65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C54FB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E940B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ED1008"/>
    <w:rsid w:val="34F01269"/>
    <w:rsid w:val="35007CFC"/>
    <w:rsid w:val="351241C6"/>
    <w:rsid w:val="35151BB3"/>
    <w:rsid w:val="35194E02"/>
    <w:rsid w:val="351F02B8"/>
    <w:rsid w:val="35212DC6"/>
    <w:rsid w:val="353A66C8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467DDC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03C27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0805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3C5615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8183B"/>
    <w:rsid w:val="3C9D0BD3"/>
    <w:rsid w:val="3C9F1451"/>
    <w:rsid w:val="3CA021D5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33D90"/>
    <w:rsid w:val="3FA47B82"/>
    <w:rsid w:val="3FB60A8F"/>
    <w:rsid w:val="3FD16542"/>
    <w:rsid w:val="3FD50823"/>
    <w:rsid w:val="3FE57A37"/>
    <w:rsid w:val="3FE6620E"/>
    <w:rsid w:val="40190984"/>
    <w:rsid w:val="401F1357"/>
    <w:rsid w:val="40234829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9F1BC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212C3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9D684D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07688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051E26"/>
    <w:rsid w:val="4C196F9D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8D3170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1C4CBC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4399F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57F1"/>
    <w:rsid w:val="531869BC"/>
    <w:rsid w:val="53195672"/>
    <w:rsid w:val="53263D68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A0D41"/>
    <w:rsid w:val="552E7B01"/>
    <w:rsid w:val="5539209E"/>
    <w:rsid w:val="555605A3"/>
    <w:rsid w:val="55632330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4D19C9"/>
    <w:rsid w:val="56636141"/>
    <w:rsid w:val="56654952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11912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BEE67C1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35C8C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381ECE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A8746A"/>
    <w:rsid w:val="61B2107A"/>
    <w:rsid w:val="61B31EEA"/>
    <w:rsid w:val="61B3280B"/>
    <w:rsid w:val="61B95D15"/>
    <w:rsid w:val="61CD6317"/>
    <w:rsid w:val="61D5175F"/>
    <w:rsid w:val="61D73DF2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117C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90B1A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4B28DB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2136F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74D57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4D770A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562CC"/>
    <w:rsid w:val="6FDF228C"/>
    <w:rsid w:val="6FEC6BA3"/>
    <w:rsid w:val="6FEE7509"/>
    <w:rsid w:val="6FF04192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5E2DFD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A34C8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7C4596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2C536F"/>
    <w:rsid w:val="77347743"/>
    <w:rsid w:val="774C399E"/>
    <w:rsid w:val="77595F96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29763A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430EB"/>
    <w:rsid w:val="7BBE34CB"/>
    <w:rsid w:val="7BEB2D7D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3F561D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BC6226"/>
    <w:rsid w:val="7DC32C10"/>
    <w:rsid w:val="7DCC6265"/>
    <w:rsid w:val="7DE579BE"/>
    <w:rsid w:val="7DE75339"/>
    <w:rsid w:val="7DEC6415"/>
    <w:rsid w:val="7E0D4015"/>
    <w:rsid w:val="7E0E2CED"/>
    <w:rsid w:val="7E230373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2019-03-08T14:39:53Z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