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股盗船长分享会II练习题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填空题：每空0.5分，共20分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在回调与反弹的关键目标位计算中，对数函数与江恩法则计算公式的两个必要条件是：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）、（   ）；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对数坐标系统适合（       ），普通坐标系统适合（     ）；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动态市盈率的计算公式是（       ），利尔化学002258总股本5.24亿股、2018年1月19日收盘价18.99元，PE（动）=32.62，市值99亿元，三季度总收入19.4亿元，三季度净利润2.29亿元。根据三季度净利润推倒动态市盈率的计算公式是（    ）公司2017年报预计净利润4.02亿元，在当前市盈率不变的情况下，股价对应的目标价位是（    ）；在当前股价不变的情况下，对应的动态市盈率是（     ）；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ADF92"/>
    <w:multiLevelType w:val="singleLevel"/>
    <w:tmpl w:val="ADDADF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59FCDC8"/>
    <w:multiLevelType w:val="singleLevel"/>
    <w:tmpl w:val="E59FCD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21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linjin101</dc:creator>
  <cp:lastModifiedBy>程序猿PMP</cp:lastModifiedBy>
  <dcterms:modified xsi:type="dcterms:W3CDTF">2018-01-22T10:21:56Z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