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markdown-feature-test-document"/>
    <w:p>
      <w:pPr>
        <w:pStyle w:val="Heading1"/>
      </w:pPr>
      <w:r>
        <w:t xml:space="preserve">Markdown Feature Test Document</w:t>
      </w:r>
    </w:p>
    <w:p>
      <w:pPr>
        <w:pStyle w:val="FirstParagraph"/>
      </w:pPr>
      <w:r>
        <w:t xml:space="preserve">This document tests Markdown features that survive round-trip conversion through DOCX and Google Docs. Each section demonstrates a specific feature.</w:t>
      </w:r>
    </w:p>
    <w:p>
      <w:r>
        <w:pict>
          <v:rect style="width:0;height:1.5pt" o:hralign="center" o:hrstd="t" o:hr="t"/>
        </w:pict>
      </w:r>
    </w:p>
    <w:bookmarkStart w:id="13" w:name="Xd040c997236033b50b3733123f9a050c0a687a0"/>
    <w:p>
      <w:pPr>
        <w:pStyle w:val="Heading2"/>
      </w:pPr>
      <w:r>
        <w:t xml:space="preserve">1. Headings</w:t>
      </w:r>
    </w:p>
    <w:p>
      <w:pPr>
        <w:pStyle w:val="FirstParagraph"/>
      </w:pPr>
      <w:r>
        <w:t xml:space="preserve">The lines above and below demonstrate heading levels H1 through H6.</w:t>
      </w:r>
    </w:p>
    <w:bookmarkStart w:id="12" w:name="heading-level-3"/>
    <w:p>
      <w:pPr>
        <w:pStyle w:val="Heading3"/>
      </w:pPr>
      <w:r>
        <w:t xml:space="preserve">Heading level 3</w:t>
      </w:r>
    </w:p>
    <w:bookmarkStart w:id="11" w:name="heading-level-4"/>
    <w:p>
      <w:pPr>
        <w:pStyle w:val="Heading4"/>
      </w:pPr>
      <w:r>
        <w:t xml:space="preserve">Heading level 4</w:t>
      </w:r>
    </w:p>
    <w:bookmarkStart w:id="10" w:name="heading-level-5"/>
    <w:p>
      <w:pPr>
        <w:pStyle w:val="Heading5"/>
      </w:pPr>
      <w:r>
        <w:t xml:space="preserve">Heading level 5</w:t>
      </w:r>
    </w:p>
    <w:bookmarkStart w:id="9" w:name="heading-level-6"/>
    <w:p>
      <w:pPr>
        <w:pStyle w:val="Heading6"/>
      </w:pPr>
      <w:r>
        <w:t xml:space="preserve">Heading level 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End w:id="12"/>
    <w:bookmarkEnd w:id="13"/>
    <w:bookmarkStart w:id="14" w:name="X1f356bb2bea9515585144e3eba33b37da9c09b2"/>
    <w:p>
      <w:pPr>
        <w:pStyle w:val="Heading2"/>
      </w:pPr>
      <w:r>
        <w:t xml:space="preserve">2. Inline Formatting</w:t>
      </w:r>
    </w:p>
    <w:p>
      <w:pPr>
        <w:pStyle w:val="FirstParagraph"/>
      </w:pPr>
      <w:r>
        <w:t xml:space="preserve">This section tests inline text styling: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text is bold</w:t>
      </w:r>
      <w:r>
        <w:t xml:space="preserve"> </w:t>
      </w:r>
      <w:r>
        <w:t xml:space="preserve">— two asterisks on each side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This text is italic</w:t>
      </w:r>
      <w:r>
        <w:t xml:space="preserve"> </w:t>
      </w:r>
      <w:r>
        <w:t xml:space="preserve">— one asterisk on each side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i/>
          <w:iCs/>
        </w:rPr>
        <w:t xml:space="preserve">This text is bold and italic</w:t>
      </w:r>
      <w:r>
        <w:t xml:space="preserve"> </w:t>
      </w:r>
      <w:r>
        <w:t xml:space="preserve">— three asterisks on each side</w:t>
      </w:r>
    </w:p>
    <w:p>
      <w:pPr>
        <w:pStyle w:val="Compact"/>
        <w:numPr>
          <w:ilvl w:val="0"/>
          <w:numId w:val="1001"/>
        </w:numPr>
      </w:pPr>
      <w:r>
        <w:rPr>
          <w:strike/>
        </w:rPr>
        <w:t xml:space="preserve">This text has strikethrough</w:t>
      </w:r>
      <w:r>
        <w:t xml:space="preserve"> </w:t>
      </w:r>
      <w:r>
        <w:t xml:space="preserve">— two tildes on each side</w:t>
      </w:r>
    </w:p>
    <w:p>
      <w:r>
        <w:pict>
          <v:rect style="width:0;height:1.5pt" o:hralign="center" o:hrstd="t" o:hr="t"/>
        </w:pict>
      </w:r>
    </w:p>
    <w:bookmarkEnd w:id="14"/>
    <w:bookmarkStart w:id="15" w:name="X2f83b1a07aac4e1328dc1f91fac37a47c4ee513"/>
    <w:p>
      <w:pPr>
        <w:pStyle w:val="Heading2"/>
      </w:pPr>
      <w:r>
        <w:t xml:space="preserve">3. Paragraphs</w:t>
      </w:r>
    </w:p>
    <w:p>
      <w:pPr>
        <w:pStyle w:val="FirstParagraph"/>
      </w:pPr>
      <w:r>
        <w:t xml:space="preserve">This is the first paragraph. It contains multiple sentences to demonstrate normal paragraph text flow.</w:t>
      </w:r>
    </w:p>
    <w:p>
      <w:pPr>
        <w:pStyle w:val="BodyText"/>
      </w:pPr>
      <w:r>
        <w:t xml:space="preserve">This is the second paragraph. It is separate from the first one.</w:t>
      </w:r>
    </w:p>
    <w:p>
      <w:r>
        <w:pict>
          <v:rect style="width:0;height:1.5pt" o:hralign="center" o:hrstd="t" o:hr="t"/>
        </w:pict>
      </w:r>
    </w:p>
    <w:bookmarkEnd w:id="15"/>
    <w:bookmarkStart w:id="16" w:name="X04d341b8efbe4d6e19d0c16b86a7ab977dc925b"/>
    <w:p>
      <w:pPr>
        <w:pStyle w:val="Heading2"/>
      </w:pPr>
      <w:r>
        <w:t xml:space="preserve">4. Blockquotes</w:t>
      </w:r>
    </w:p>
    <w:p>
      <w:pPr>
        <w:pStyle w:val="FirstParagraph"/>
      </w:pPr>
      <w:r>
        <w:t xml:space="preserve">This section tests blockquotes:</w:t>
      </w:r>
    </w:p>
    <w:p>
      <w:pPr>
        <w:pStyle w:val="BlockText"/>
      </w:pPr>
      <w:r>
        <w:t xml:space="preserve">This is a single-level blockquote. It represents quoted text from another source.</w:t>
      </w:r>
    </w:p>
    <w:p>
      <w:pPr>
        <w:pStyle w:val="BlockText"/>
      </w:pPr>
      <w:r>
        <w:t xml:space="preserve">This is a multi-paragraph blockquote.</w:t>
      </w:r>
    </w:p>
    <w:p>
      <w:pPr>
        <w:pStyle w:val="BlockText"/>
      </w:pPr>
      <w:r>
        <w:t xml:space="preserve">This is the second paragraph inside the same blockquote.</w:t>
      </w:r>
    </w:p>
    <w:p>
      <w:r>
        <w:pict>
          <v:rect style="width:0;height:1.5pt" o:hralign="center" o:hrstd="t" o:hr="t"/>
        </w:pict>
      </w:r>
    </w:p>
    <w:bookmarkEnd w:id="16"/>
    <w:bookmarkStart w:id="17" w:name="X5908baa8b14a9805b9b3e252c7e8b022fb28b3d"/>
    <w:p>
      <w:pPr>
        <w:pStyle w:val="Heading2"/>
      </w:pPr>
      <w:r>
        <w:t xml:space="preserve">5. Unordered Lists</w:t>
      </w:r>
    </w:p>
    <w:p>
      <w:pPr>
        <w:pStyle w:val="FirstParagraph"/>
      </w:pPr>
      <w:r>
        <w:t xml:space="preserve">This section tests bullet lists:</w:t>
      </w:r>
    </w:p>
    <w:p>
      <w:pPr>
        <w:pStyle w:val="Compact"/>
        <w:numPr>
          <w:ilvl w:val="0"/>
          <w:numId w:val="1002"/>
        </w:numPr>
      </w:pPr>
      <w:r>
        <w:t xml:space="preserve">First item</w:t>
      </w:r>
    </w:p>
    <w:p>
      <w:pPr>
        <w:pStyle w:val="Compact"/>
        <w:numPr>
          <w:ilvl w:val="0"/>
          <w:numId w:val="1002"/>
        </w:numPr>
      </w:pPr>
      <w:r>
        <w:t xml:space="preserve">Second item</w:t>
      </w:r>
    </w:p>
    <w:p>
      <w:pPr>
        <w:pStyle w:val="Compact"/>
        <w:numPr>
          <w:ilvl w:val="0"/>
          <w:numId w:val="1002"/>
        </w:numPr>
      </w:pPr>
      <w:r>
        <w:t xml:space="preserve">Third item</w:t>
      </w:r>
    </w:p>
    <w:p>
      <w:pPr>
        <w:pStyle w:val="FirstParagraph"/>
      </w:pPr>
      <w:r>
        <w:t xml:space="preserve">Nested unordered list:</w:t>
      </w:r>
    </w:p>
    <w:p>
      <w:pPr>
        <w:pStyle w:val="Compact"/>
        <w:numPr>
          <w:ilvl w:val="0"/>
          <w:numId w:val="1003"/>
        </w:numPr>
      </w:pPr>
      <w:r>
        <w:t xml:space="preserve">Parent item 1</w:t>
      </w:r>
    </w:p>
    <w:p>
      <w:pPr>
        <w:pStyle w:val="Compact"/>
        <w:numPr>
          <w:ilvl w:val="1"/>
          <w:numId w:val="1004"/>
        </w:numPr>
      </w:pPr>
      <w:r>
        <w:t xml:space="preserve">Child item 1a</w:t>
      </w:r>
    </w:p>
    <w:p>
      <w:pPr>
        <w:pStyle w:val="Compact"/>
        <w:numPr>
          <w:ilvl w:val="1"/>
          <w:numId w:val="1004"/>
        </w:numPr>
      </w:pPr>
      <w:r>
        <w:t xml:space="preserve">Child item 1b</w:t>
      </w:r>
    </w:p>
    <w:p>
      <w:pPr>
        <w:pStyle w:val="Compact"/>
        <w:numPr>
          <w:ilvl w:val="2"/>
          <w:numId w:val="1005"/>
        </w:numPr>
      </w:pPr>
      <w:r>
        <w:t xml:space="preserve">Grandchild item 1b-i</w:t>
      </w:r>
    </w:p>
    <w:p>
      <w:pPr>
        <w:pStyle w:val="Compact"/>
        <w:numPr>
          <w:ilvl w:val="2"/>
          <w:numId w:val="1005"/>
        </w:numPr>
      </w:pPr>
      <w:r>
        <w:t xml:space="preserve">Grandchild item 1b-ii</w:t>
      </w:r>
    </w:p>
    <w:p>
      <w:pPr>
        <w:pStyle w:val="Compact"/>
        <w:numPr>
          <w:ilvl w:val="1"/>
          <w:numId w:val="1004"/>
        </w:numPr>
      </w:pPr>
      <w:r>
        <w:t xml:space="preserve">Child item 1c</w:t>
      </w:r>
    </w:p>
    <w:p>
      <w:pPr>
        <w:pStyle w:val="Compact"/>
        <w:numPr>
          <w:ilvl w:val="0"/>
          <w:numId w:val="1003"/>
        </w:numPr>
      </w:pPr>
      <w:r>
        <w:t xml:space="preserve">Parent item 2</w:t>
      </w:r>
    </w:p>
    <w:p>
      <w:pPr>
        <w:pStyle w:val="Compact"/>
        <w:numPr>
          <w:ilvl w:val="0"/>
          <w:numId w:val="1003"/>
        </w:numPr>
      </w:pPr>
      <w:r>
        <w:t xml:space="preserve">Parent item 3</w:t>
      </w:r>
    </w:p>
    <w:p>
      <w:r>
        <w:pict>
          <v:rect style="width:0;height:1.5pt" o:hralign="center" o:hrstd="t" o:hr="t"/>
        </w:pict>
      </w:r>
    </w:p>
    <w:bookmarkEnd w:id="17"/>
    <w:bookmarkStart w:id="18" w:name="Xc651c6d48194a0a672f49f7e02bddd915bcfac2"/>
    <w:p>
      <w:pPr>
        <w:pStyle w:val="Heading2"/>
      </w:pPr>
      <w:r>
        <w:t xml:space="preserve">6. Ordered Lists</w:t>
      </w:r>
    </w:p>
    <w:p>
      <w:pPr>
        <w:pStyle w:val="FirstParagraph"/>
      </w:pPr>
      <w:r>
        <w:t xml:space="preserve">This section tests numbered lists:</w:t>
      </w:r>
    </w:p>
    <w:p>
      <w:pPr>
        <w:pStyle w:val="Compact"/>
        <w:numPr>
          <w:ilvl w:val="0"/>
          <w:numId w:val="1006"/>
        </w:numPr>
      </w:pPr>
      <w:r>
        <w:t xml:space="preserve">First item</w:t>
      </w:r>
    </w:p>
    <w:p>
      <w:pPr>
        <w:pStyle w:val="Compact"/>
        <w:numPr>
          <w:ilvl w:val="0"/>
          <w:numId w:val="1006"/>
        </w:numPr>
      </w:pPr>
      <w:r>
        <w:t xml:space="preserve">Second item</w:t>
      </w:r>
    </w:p>
    <w:p>
      <w:pPr>
        <w:pStyle w:val="Compact"/>
        <w:numPr>
          <w:ilvl w:val="0"/>
          <w:numId w:val="1006"/>
        </w:numPr>
      </w:pPr>
      <w:r>
        <w:t xml:space="preserve">Third item</w:t>
      </w:r>
    </w:p>
    <w:p>
      <w:pPr>
        <w:pStyle w:val="FirstParagraph"/>
      </w:pPr>
      <w:r>
        <w:t xml:space="preserve">Nested ordered list:</w:t>
      </w:r>
    </w:p>
    <w:p>
      <w:pPr>
        <w:pStyle w:val="Compact"/>
        <w:numPr>
          <w:ilvl w:val="0"/>
          <w:numId w:val="1007"/>
        </w:numPr>
      </w:pPr>
      <w:r>
        <w:t xml:space="preserve">Parent item 1</w:t>
      </w:r>
    </w:p>
    <w:p>
      <w:pPr>
        <w:pStyle w:val="Compact"/>
        <w:numPr>
          <w:ilvl w:val="1"/>
          <w:numId w:val="1008"/>
        </w:numPr>
      </w:pPr>
      <w:r>
        <w:t xml:space="preserve">Child item 1.1</w:t>
      </w:r>
    </w:p>
    <w:p>
      <w:pPr>
        <w:pStyle w:val="Compact"/>
        <w:numPr>
          <w:ilvl w:val="1"/>
          <w:numId w:val="1008"/>
        </w:numPr>
      </w:pPr>
      <w:r>
        <w:t xml:space="preserve">Child item 1.2</w:t>
      </w:r>
    </w:p>
    <w:p>
      <w:pPr>
        <w:pStyle w:val="Compact"/>
        <w:numPr>
          <w:ilvl w:val="2"/>
          <w:numId w:val="1009"/>
        </w:numPr>
      </w:pPr>
      <w:r>
        <w:t xml:space="preserve">Grandchild item 1.2.1</w:t>
      </w:r>
    </w:p>
    <w:p>
      <w:pPr>
        <w:pStyle w:val="Compact"/>
        <w:numPr>
          <w:ilvl w:val="2"/>
          <w:numId w:val="1009"/>
        </w:numPr>
      </w:pPr>
      <w:r>
        <w:t xml:space="preserve">Grandchild item 1.2.2</w:t>
      </w:r>
    </w:p>
    <w:p>
      <w:pPr>
        <w:pStyle w:val="Compact"/>
        <w:numPr>
          <w:ilvl w:val="1"/>
          <w:numId w:val="1008"/>
        </w:numPr>
      </w:pPr>
      <w:r>
        <w:t xml:space="preserve">Child item 1.3</w:t>
      </w:r>
    </w:p>
    <w:p>
      <w:pPr>
        <w:pStyle w:val="Compact"/>
        <w:numPr>
          <w:ilvl w:val="0"/>
          <w:numId w:val="1007"/>
        </w:numPr>
      </w:pPr>
      <w:r>
        <w:t xml:space="preserve">Parent item 2</w:t>
      </w:r>
    </w:p>
    <w:p>
      <w:pPr>
        <w:pStyle w:val="Compact"/>
        <w:numPr>
          <w:ilvl w:val="0"/>
          <w:numId w:val="1007"/>
        </w:numPr>
      </w:pPr>
      <w:r>
        <w:t xml:space="preserve">Parent item 3</w:t>
      </w:r>
    </w:p>
    <w:p>
      <w:r>
        <w:pict>
          <v:rect style="width:0;height:1.5pt" o:hralign="center" o:hrstd="t" o:hr="t"/>
        </w:pict>
      </w:r>
    </w:p>
    <w:bookmarkEnd w:id="18"/>
    <w:bookmarkStart w:id="19" w:name="X7effb4e751363fc49b86f640ba439ce20f21dcc"/>
    <w:p>
      <w:pPr>
        <w:pStyle w:val="Heading2"/>
      </w:pPr>
      <w:r>
        <w:t xml:space="preserve">7. Mixed Lists</w:t>
      </w:r>
    </w:p>
    <w:p>
      <w:pPr>
        <w:pStyle w:val="FirstParagraph"/>
      </w:pPr>
      <w:r>
        <w:t xml:space="preserve">This section tests ordered and unordered lists combined:</w:t>
      </w:r>
    </w:p>
    <w:p>
      <w:pPr>
        <w:pStyle w:val="Compact"/>
        <w:numPr>
          <w:ilvl w:val="0"/>
          <w:numId w:val="1010"/>
        </w:numPr>
      </w:pPr>
      <w:r>
        <w:t xml:space="preserve">First ordered item</w:t>
      </w:r>
    </w:p>
    <w:p>
      <w:pPr>
        <w:pStyle w:val="Compact"/>
        <w:numPr>
          <w:ilvl w:val="1"/>
          <w:numId w:val="1011"/>
        </w:numPr>
      </w:pPr>
      <w:r>
        <w:t xml:space="preserve">Unordered child A</w:t>
      </w:r>
    </w:p>
    <w:p>
      <w:pPr>
        <w:pStyle w:val="Compact"/>
        <w:numPr>
          <w:ilvl w:val="1"/>
          <w:numId w:val="1011"/>
        </w:numPr>
      </w:pPr>
      <w:r>
        <w:t xml:space="preserve">Unordered child B</w:t>
      </w:r>
    </w:p>
    <w:p>
      <w:pPr>
        <w:pStyle w:val="Compact"/>
        <w:numPr>
          <w:ilvl w:val="0"/>
          <w:numId w:val="1010"/>
        </w:numPr>
      </w:pPr>
      <w:r>
        <w:t xml:space="preserve">Second ordered item</w:t>
      </w:r>
    </w:p>
    <w:p>
      <w:pPr>
        <w:pStyle w:val="Compact"/>
        <w:numPr>
          <w:ilvl w:val="1"/>
          <w:numId w:val="1012"/>
        </w:numPr>
      </w:pPr>
      <w:r>
        <w:t xml:space="preserve">Ordered child 2.1</w:t>
      </w:r>
    </w:p>
    <w:p>
      <w:pPr>
        <w:pStyle w:val="Compact"/>
        <w:numPr>
          <w:ilvl w:val="1"/>
          <w:numId w:val="1012"/>
        </w:numPr>
      </w:pPr>
      <w:r>
        <w:t xml:space="preserve">Ordered child 2.2</w:t>
      </w:r>
    </w:p>
    <w:p>
      <w:pPr>
        <w:pStyle w:val="Compact"/>
        <w:numPr>
          <w:ilvl w:val="0"/>
          <w:numId w:val="1010"/>
        </w:numPr>
      </w:pPr>
      <w:r>
        <w:t xml:space="preserve">Third ordered item</w:t>
      </w:r>
    </w:p>
    <w:p>
      <w:r>
        <w:pict>
          <v:rect style="width:0;height:1.5pt" o:hralign="center" o:hrstd="t" o:hr="t"/>
        </w:pict>
      </w:r>
    </w:p>
    <w:bookmarkEnd w:id="19"/>
    <w:bookmarkStart w:id="24" w:name="X0ea8e554267021fde1055e4b737d1ccaf8d8c3b"/>
    <w:p>
      <w:pPr>
        <w:pStyle w:val="Heading2"/>
      </w:pPr>
      <w:r>
        <w:t xml:space="preserve">8. Tables</w:t>
      </w:r>
    </w:p>
    <w:bookmarkStart w:id="20" w:name="simple-table"/>
    <w:p>
      <w:pPr>
        <w:pStyle w:val="Heading3"/>
      </w:pPr>
      <w:r>
        <w:t xml:space="preserve">Simple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Using double asterisks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Using single asterisks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Strikethrough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Using double tildes</w:t>
            </w:r>
          </w:p>
        </w:tc>
      </w:tr>
    </w:tbl>
    <w:bookmarkEnd w:id="20"/>
    <w:bookmarkStart w:id="21" w:name="table-with-alignment"/>
    <w:p>
      <w:pPr>
        <w:pStyle w:val="Heading3"/>
      </w:pPr>
      <w:r>
        <w:t xml:space="preserve">Table with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Left-aligned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Center-aligned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Right-aligned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 3</w:t>
            </w:r>
          </w:p>
        </w:tc>
      </w:tr>
    </w:tbl>
    <w:bookmarkEnd w:id="21"/>
    <w:bookmarkStart w:id="23" w:name="table-with-formatted-content"/>
    <w:p>
      <w:pPr>
        <w:pStyle w:val="Heading3"/>
      </w:pPr>
      <w:r>
        <w:t xml:space="preserve">Table with formatted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  <w:tc>
          <w:tcPr/>
          <w:p>
            <w:pPr>
              <w:pStyle w:val="Compact"/>
            </w:pPr>
            <w:r>
              <w:t xml:space="preserve">Column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 text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Italic text</w:t>
            </w:r>
          </w:p>
        </w:tc>
        <w:tc>
          <w:tcPr/>
          <w:p>
            <w:pPr>
              <w:pStyle w:val="Compact"/>
            </w:pPr>
            <w:r>
              <w:t xml:space="preserve">Normal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Strikethrough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Link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Bold italic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with</w:t>
            </w:r>
            <w:r>
              <w:t xml:space="preserve"> </w:t>
            </w:r>
            <w:r>
              <w:rPr>
                <w:b/>
                <w:bCs/>
              </w:rPr>
              <w:t xml:space="preserve">mixed</w:t>
            </w:r>
            <w:r>
              <w:t xml:space="preserve"> </w:t>
            </w:r>
            <w:r>
              <w:rPr>
                <w:i/>
                <w:iCs/>
              </w:rP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Simple text</w:t>
            </w:r>
          </w:p>
        </w:tc>
        <w:tc>
          <w:tcPr/>
          <w:p>
            <w:pPr>
              <w:pStyle w:val="Compact"/>
            </w:pPr>
            <w:r>
              <w:t xml:space="preserve">Last cell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e22ee34356e9d421da05dcd696ebe741b3cbf3e"/>
    <w:p>
      <w:pPr>
        <w:pStyle w:val="Heading2"/>
      </w:pPr>
      <w:r>
        <w:t xml:space="preserve">9. Links</w:t>
      </w:r>
    </w:p>
    <w:p>
      <w:pPr>
        <w:pStyle w:val="FirstParagraph"/>
      </w:pPr>
      <w:r>
        <w:t xml:space="preserve">This section tests hyperlinks:</w:t>
      </w:r>
    </w:p>
    <w:p>
      <w:pPr>
        <w:pStyle w:val="Compact"/>
        <w:numPr>
          <w:ilvl w:val="0"/>
          <w:numId w:val="1013"/>
        </w:numPr>
      </w:pPr>
      <w:hyperlink r:id="rId22">
        <w:r>
          <w:rPr>
            <w:rStyle w:val="Hyperlink"/>
          </w:rPr>
          <w:t xml:space="preserve">Regular link</w:t>
        </w:r>
      </w:hyperlink>
    </w:p>
    <w:p>
      <w:pPr>
        <w:pStyle w:val="Compact"/>
        <w:numPr>
          <w:ilvl w:val="0"/>
          <w:numId w:val="1013"/>
        </w:numPr>
      </w:pPr>
      <w:hyperlink r:id="rId22">
        <w:r>
          <w:rPr>
            <w:rStyle w:val="Hyperlink"/>
          </w:rPr>
          <w:t xml:space="preserve">Link with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bold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text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38" w:name="Xc9595a2c418469a5d43c3663f069f01aee94d06"/>
    <w:p>
      <w:pPr>
        <w:pStyle w:val="Heading2"/>
      </w:pPr>
      <w:r>
        <w:t xml:space="preserve">10. Images</w:t>
      </w:r>
    </w:p>
    <w:p>
      <w:pPr>
        <w:pStyle w:val="FirstParagraph"/>
      </w:pPr>
      <w:r>
        <w:t xml:space="preserve">This section tests image embedding. Each image is a solid color rectangle for easy visual verification.</w:t>
      </w:r>
    </w:p>
    <w:p>
      <w:pPr>
        <w:pStyle w:val="BodyText"/>
      </w:pPr>
      <w:r>
        <w:t xml:space="preserve">Blue rectangle (200x100):</w:t>
      </w:r>
    </w:p>
    <w:p>
      <w:pPr>
        <w:pStyle w:val="BodyText"/>
      </w:pPr>
      <w:r>
        <w:drawing>
          <wp:inline>
            <wp:extent cx="2540000" cy="1270000"/>
            <wp:effectExtent b="0" l="0" r="0" t="0"/>
            <wp:docPr descr="Blue rectangle" title="" id="27" name="Picture"/>
            <a:graphic>
              <a:graphicData uri="http://schemas.openxmlformats.org/drawingml/2006/picture">
                <pic:pic>
                  <pic:nvPicPr>
                    <pic:cNvPr descr="media/image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Red rectangle (300x150):</w:t>
      </w:r>
    </w:p>
    <w:p>
      <w:pPr>
        <w:pStyle w:val="BodyText"/>
      </w:pPr>
      <w:r>
        <w:drawing>
          <wp:inline>
            <wp:extent cx="3810000" cy="1905000"/>
            <wp:effectExtent b="0" l="0" r="0" t="0"/>
            <wp:docPr descr="Red rectangle" title="" id="30" name="Picture"/>
            <a:graphic>
              <a:graphicData uri="http://schemas.openxmlformats.org/drawingml/2006/picture">
                <pic:pic>
                  <pic:nvPicPr>
                    <pic:cNvPr descr="media/image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Green square (150x150):</w:t>
      </w:r>
    </w:p>
    <w:p>
      <w:pPr>
        <w:pStyle w:val="BodyText"/>
      </w:pPr>
      <w:r>
        <w:drawing>
          <wp:inline>
            <wp:extent cx="1905000" cy="1905000"/>
            <wp:effectExtent b="0" l="0" r="0" t="0"/>
            <wp:docPr descr="Green square" title="" id="33" name="Picture"/>
            <a:graphic>
              <a:graphicData uri="http://schemas.openxmlformats.org/drawingml/2006/picture">
                <pic:pic>
                  <pic:nvPicPr>
                    <pic:cNvPr descr="media/image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Yellow square (150x150):</w:t>
      </w:r>
    </w:p>
    <w:p>
      <w:pPr>
        <w:pStyle w:val="BodyText"/>
      </w:pPr>
      <w:r>
        <w:drawing>
          <wp:inline>
            <wp:extent cx="1905000" cy="1905000"/>
            <wp:effectExtent b="0" l="0" r="0" t="0"/>
            <wp:docPr descr="Yellow square" title="" id="36" name="Picture"/>
            <a:graphic>
              <a:graphicData uri="http://schemas.openxmlformats.org/drawingml/2006/picture">
                <pic:pic>
                  <pic:nvPicPr>
                    <pic:cNvPr descr="media/image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Start w:id="39" w:name="Xecaf5caec512dd227fb48f4dbe65ac7dc43a89c"/>
    <w:p>
      <w:pPr>
        <w:pStyle w:val="Heading2"/>
      </w:pPr>
      <w:r>
        <w:t xml:space="preserve">11. Horizontal Rules</w:t>
      </w:r>
    </w:p>
    <w:p>
      <w:pPr>
        <w:pStyle w:val="FirstParagraph"/>
      </w:pPr>
      <w:r>
        <w:t xml:space="preserve">The lines between sections are horizontal rules. They should appear as visible separators.</w:t>
      </w:r>
    </w:p>
    <w:p>
      <w:r>
        <w:pict>
          <v:rect style="width:0;height:1.5pt" o:hralign="center" o:hrstd="t" o:hr="t"/>
        </w:pict>
      </w:r>
    </w:p>
    <w:bookmarkEnd w:id="39"/>
    <w:bookmarkStart w:id="40" w:name="Xfca058a7e662f53cfbba871a8ec3553e2372e50"/>
    <w:p>
      <w:pPr>
        <w:pStyle w:val="Heading2"/>
      </w:pPr>
      <w:r>
        <w:t xml:space="preserve">12. Special Characters</w:t>
      </w:r>
    </w:p>
    <w:p>
      <w:pPr>
        <w:pStyle w:val="FirstParagraph"/>
      </w:pPr>
      <w:r>
        <w:t xml:space="preserve">This section tests special characters and symbols:</w:t>
      </w:r>
    </w:p>
    <w:p>
      <w:pPr>
        <w:pStyle w:val="Compact"/>
        <w:numPr>
          <w:ilvl w:val="0"/>
          <w:numId w:val="1014"/>
        </w:numPr>
      </w:pPr>
      <w:r>
        <w:t xml:space="preserve">Em dash: —</w:t>
      </w:r>
    </w:p>
    <w:p>
      <w:pPr>
        <w:pStyle w:val="Compact"/>
        <w:numPr>
          <w:ilvl w:val="0"/>
          <w:numId w:val="1014"/>
        </w:numPr>
      </w:pPr>
      <w:r>
        <w:t xml:space="preserve">En dash: –</w:t>
      </w:r>
    </w:p>
    <w:p>
      <w:pPr>
        <w:pStyle w:val="Compact"/>
        <w:numPr>
          <w:ilvl w:val="0"/>
          <w:numId w:val="1014"/>
        </w:numPr>
      </w:pPr>
      <w:r>
        <w:t xml:space="preserve">Ellipsis: …</w:t>
      </w:r>
    </w:p>
    <w:p>
      <w:pPr>
        <w:pStyle w:val="Compact"/>
        <w:numPr>
          <w:ilvl w:val="0"/>
          <w:numId w:val="1014"/>
        </w:numPr>
      </w:pPr>
      <w:r>
        <w:t xml:space="preserve">Copyright: ©</w:t>
      </w:r>
    </w:p>
    <w:p>
      <w:pPr>
        <w:pStyle w:val="Compact"/>
        <w:numPr>
          <w:ilvl w:val="0"/>
          <w:numId w:val="1014"/>
        </w:numPr>
      </w:pPr>
      <w:r>
        <w:t xml:space="preserve">Trademark: ™</w:t>
      </w:r>
    </w:p>
    <w:p>
      <w:pPr>
        <w:pStyle w:val="Compact"/>
        <w:numPr>
          <w:ilvl w:val="0"/>
          <w:numId w:val="1014"/>
        </w:numPr>
      </w:pPr>
      <w:r>
        <w:t xml:space="preserve">Registered: ®</w:t>
      </w:r>
    </w:p>
    <w:p>
      <w:pPr>
        <w:pStyle w:val="Compact"/>
        <w:numPr>
          <w:ilvl w:val="0"/>
          <w:numId w:val="1014"/>
        </w:numPr>
      </w:pPr>
      <w:r>
        <w:t xml:space="preserve">Degree: 90°</w:t>
      </w:r>
    </w:p>
    <w:p>
      <w:pPr>
        <w:pStyle w:val="Compact"/>
        <w:numPr>
          <w:ilvl w:val="0"/>
          <w:numId w:val="1014"/>
        </w:numPr>
      </w:pPr>
      <w:r>
        <w:t xml:space="preserve">Arrows: ← → ↑ ↓</w:t>
      </w:r>
    </w:p>
    <w:p>
      <w:pPr>
        <w:pStyle w:val="Compact"/>
        <w:numPr>
          <w:ilvl w:val="0"/>
          <w:numId w:val="1014"/>
        </w:numPr>
      </w:pPr>
      <w:r>
        <w:t xml:space="preserve">Math symbols: ± × ÷ ≠ ≤ ≥ ≈</w:t>
      </w:r>
    </w:p>
    <w:p>
      <w:pPr>
        <w:pStyle w:val="Compact"/>
        <w:numPr>
          <w:ilvl w:val="0"/>
          <w:numId w:val="1014"/>
        </w:numPr>
      </w:pPr>
      <w:r>
        <w:t xml:space="preserve">Currency: € £ ¥ ₽</w:t>
      </w:r>
    </w:p>
    <w:p>
      <w:pPr>
        <w:pStyle w:val="Compact"/>
        <w:numPr>
          <w:ilvl w:val="0"/>
          <w:numId w:val="1014"/>
        </w:numPr>
      </w:pPr>
      <w:r>
        <w:t xml:space="preserve">Quotes: "double curly" and 'single curly'</w:t>
      </w:r>
    </w:p>
    <w:p>
      <w:pPr>
        <w:pStyle w:val="Compact"/>
        <w:numPr>
          <w:ilvl w:val="0"/>
          <w:numId w:val="1014"/>
        </w:numPr>
      </w:pPr>
      <w:r>
        <w:t xml:space="preserve">Emoji: 🚀 ✅ ❌ ⚠️ 📝</w:t>
      </w:r>
    </w:p>
    <w:p>
      <w:r>
        <w:pict>
          <v:rect style="width:0;height:1.5pt" o:hralign="center" o:hrstd="t" o:hr="t"/>
        </w:pict>
      </w:r>
    </w:p>
    <w:bookmarkEnd w:id="40"/>
    <w:bookmarkStart w:id="41" w:name="X30c0c22ea28808d8a414590299ff12307b170ab"/>
    <w:p>
      <w:pPr>
        <w:pStyle w:val="Heading2"/>
      </w:pPr>
      <w:r>
        <w:t xml:space="preserve">13. Nested Formatting Edge Cases</w:t>
      </w:r>
    </w:p>
    <w:p>
      <w:pPr>
        <w:pStyle w:val="FirstParagraph"/>
      </w:pPr>
      <w:r>
        <w:t xml:space="preserve">This section tests nesting combinations that commonly break: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Bold text with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italic inside</w:t>
      </w:r>
      <w:r>
        <w:rPr>
          <w:b/>
          <w:bCs/>
        </w:rPr>
        <w:t xml:space="preserve"> </w:t>
      </w:r>
      <w:r>
        <w:rPr>
          <w:b/>
          <w:bCs/>
        </w:rPr>
        <w:t xml:space="preserve">and back to bold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Italic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bold inside</w:t>
      </w:r>
      <w:r>
        <w:rPr>
          <w:i/>
          <w:iCs/>
        </w:rPr>
        <w:t xml:space="preserve"> </w:t>
      </w:r>
      <w:r>
        <w:rPr>
          <w:i/>
          <w:iCs/>
        </w:rPr>
        <w:t xml:space="preserve">and back to italic</w:t>
      </w:r>
    </w:p>
    <w:p>
      <w:r>
        <w:pict>
          <v:rect style="width:0;height:1.5pt" o:hralign="center" o:hrstd="t" o:hr="t"/>
        </w:pict>
      </w:r>
    </w:p>
    <w:bookmarkEnd w:id="41"/>
    <w:bookmarkStart w:id="42" w:name="X842fb7d338085444f0832b1cd0ef9dd67ad5e9c"/>
    <w:p>
      <w:pPr>
        <w:pStyle w:val="Heading2"/>
      </w:pPr>
      <w:r>
        <w:t xml:space="preserve">14. Empty and Minimal Table Content</w:t>
      </w:r>
    </w:p>
    <w:p>
      <w:pPr>
        <w:pStyle w:val="FirstParagraph"/>
      </w:pPr>
      <w:r>
        <w:t xml:space="preserve">Empty table cells: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</w:tbl>
    <w:p>
      <w:pPr>
        <w:pStyle w:val="BodyText"/>
      </w:pPr>
      <w:r>
        <w:t xml:space="preserve">Single-character cells: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Markdown Feature Test Document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22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2026-04-20T13:43:40Z</dcterms:created>
  <dcterms:modified xsi:type="dcterms:W3CDTF">2026-04-20T13:43:40Z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