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BE89" w14:textId="77777777" w:rsidR="00FE39B2" w:rsidRPr="00FE39B2" w:rsidRDefault="00FE39B2" w:rsidP="00FE39B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39B2">
        <w:rPr>
          <w:rFonts w:ascii="Times New Roman" w:hAnsi="Times New Roman" w:cs="Times New Roman"/>
          <w:b/>
          <w:bCs/>
          <w:sz w:val="36"/>
          <w:szCs w:val="36"/>
          <w:u w:val="single"/>
        </w:rPr>
        <w:t>TASK 2 – CAUSALITY ASSESSMENT</w:t>
      </w:r>
    </w:p>
    <w:p w14:paraId="0464654F" w14:textId="77777777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Task Overview</w:t>
      </w:r>
    </w:p>
    <w:p w14:paraId="6F334C2B" w14:textId="680C3976" w:rsidR="00FE39B2" w:rsidRPr="00FE39B2" w:rsidRDefault="00FE39B2" w:rsidP="00FE39B2">
      <w:p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This task focused on Causality Assessment, where a suspected relationship between a medicine and an adverse reaction was evaluated using standard pharmacovigilance approaches.</w:t>
      </w:r>
    </w:p>
    <w:p w14:paraId="5604AE56" w14:textId="2AB7FB60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Case Summary</w:t>
      </w:r>
    </w:p>
    <w:p w14:paraId="74CF2E00" w14:textId="38E5EEF0" w:rsidR="00FE39B2" w:rsidRPr="00FE39B2" w:rsidRDefault="00FE39B2" w:rsidP="00FE39B2">
      <w:p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The case involved a 32-year-old male patient weighing 65 kg, diagnosed with Acute Bacterial Sinusitis. The patient was prescribed Amoxicillin 500 mg orally, TID.</w:t>
      </w:r>
    </w:p>
    <w:p w14:paraId="4B24BCF2" w14:textId="2F5ECB1B" w:rsidR="00FE39B2" w:rsidRPr="00FE39B2" w:rsidRDefault="00FE39B2" w:rsidP="00FE39B2">
      <w:p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 xml:space="preserve">The patient started Amoxicillin on 1 March 2026. On 3 March 2026, he developed </w:t>
      </w:r>
      <w:r>
        <w:rPr>
          <w:rFonts w:ascii="Times New Roman" w:hAnsi="Times New Roman" w:cs="Times New Roman"/>
        </w:rPr>
        <w:t>generalised</w:t>
      </w:r>
      <w:r w:rsidRPr="00FE39B2">
        <w:rPr>
          <w:rFonts w:ascii="Times New Roman" w:hAnsi="Times New Roman" w:cs="Times New Roman"/>
        </w:rPr>
        <w:t xml:space="preserve"> itching and skin rashes over the chest. The suspected drug was stopped on the same day, and the patient was treated with antihistamines. He recovered completely by 6 March 2026.</w:t>
      </w:r>
    </w:p>
    <w:p w14:paraId="5B716EFF" w14:textId="77777777" w:rsidR="00FE39B2" w:rsidRPr="00FE39B2" w:rsidRDefault="00FE39B2" w:rsidP="00FE39B2">
      <w:pPr>
        <w:rPr>
          <w:rFonts w:ascii="Times New Roman" w:hAnsi="Times New Roman" w:cs="Times New Roman"/>
        </w:rPr>
      </w:pPr>
    </w:p>
    <w:p w14:paraId="29BC19BC" w14:textId="77777777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Causality Assessment</w:t>
      </w:r>
    </w:p>
    <w:p w14:paraId="6A133017" w14:textId="6331A9F2" w:rsidR="00FE39B2" w:rsidRPr="00FE39B2" w:rsidRDefault="00FE39B2" w:rsidP="00FE39B2">
      <w:p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The case was assessed to understand whether the reported reaction was associated with the suspected medication.</w:t>
      </w:r>
    </w:p>
    <w:p w14:paraId="7D28E421" w14:textId="77777777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The assessment considered important factors such as:</w:t>
      </w:r>
    </w:p>
    <w:p w14:paraId="24C4B6E8" w14:textId="77777777" w:rsidR="00FE39B2" w:rsidRPr="00FE39B2" w:rsidRDefault="00FE39B2" w:rsidP="00FE39B2">
      <w:pPr>
        <w:rPr>
          <w:rFonts w:ascii="Times New Roman" w:hAnsi="Times New Roman" w:cs="Times New Roman"/>
        </w:rPr>
      </w:pPr>
    </w:p>
    <w:p w14:paraId="6E1BD485" w14:textId="26AB6E2A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Temporal relationship between drug administration and the reaction</w:t>
      </w:r>
    </w:p>
    <w:p w14:paraId="027884B5" w14:textId="6C6E3452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Appearance of the reaction after administration of the suspected drug</w:t>
      </w:r>
    </w:p>
    <w:p w14:paraId="49AAC052" w14:textId="0CCF37A2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Improvement after discontinuation of the drug (</w:t>
      </w:r>
      <w:proofErr w:type="spellStart"/>
      <w:r w:rsidRPr="00FE39B2">
        <w:rPr>
          <w:rFonts w:ascii="Times New Roman" w:hAnsi="Times New Roman" w:cs="Times New Roman"/>
        </w:rPr>
        <w:t>dechallenge</w:t>
      </w:r>
      <w:proofErr w:type="spellEnd"/>
      <w:r w:rsidRPr="00FE39B2">
        <w:rPr>
          <w:rFonts w:ascii="Times New Roman" w:hAnsi="Times New Roman" w:cs="Times New Roman"/>
        </w:rPr>
        <w:t>)</w:t>
      </w:r>
    </w:p>
    <w:p w14:paraId="56299F12" w14:textId="23262942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Reappearance of the reaction after re-administration (rechallenge)</w:t>
      </w:r>
    </w:p>
    <w:p w14:paraId="441AE58F" w14:textId="6927F05A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Possible alternative causes</w:t>
      </w:r>
    </w:p>
    <w:p w14:paraId="3F0F4FC2" w14:textId="21A202C2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Previous reports of similar reactions</w:t>
      </w:r>
    </w:p>
    <w:p w14:paraId="73A8389D" w14:textId="569DCB16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Dose-response relationship</w:t>
      </w:r>
    </w:p>
    <w:p w14:paraId="1790C8E9" w14:textId="77777777" w:rsidR="00FE39B2" w:rsidRPr="00FE39B2" w:rsidRDefault="00FE39B2" w:rsidP="00FE39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Objective evidence supporting the reaction</w:t>
      </w:r>
    </w:p>
    <w:p w14:paraId="28785F73" w14:textId="77777777" w:rsidR="00FE39B2" w:rsidRPr="00FE39B2" w:rsidRDefault="00FE39B2" w:rsidP="00FE39B2">
      <w:pPr>
        <w:rPr>
          <w:rFonts w:ascii="Times New Roman" w:hAnsi="Times New Roman" w:cs="Times New Roman"/>
        </w:rPr>
      </w:pPr>
    </w:p>
    <w:p w14:paraId="2CF27939" w14:textId="77777777" w:rsidR="00FE39B2" w:rsidRPr="00FE39B2" w:rsidRDefault="00FE39B2" w:rsidP="00FE39B2">
      <w:pPr>
        <w:rPr>
          <w:rFonts w:ascii="Times New Roman" w:hAnsi="Times New Roman" w:cs="Times New Roman"/>
        </w:rPr>
      </w:pPr>
    </w:p>
    <w:p w14:paraId="6D214D41" w14:textId="77777777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Naranjo ADR Probability Scale</w:t>
      </w:r>
    </w:p>
    <w:p w14:paraId="78011CB7" w14:textId="19ADF63C" w:rsidR="00FE39B2" w:rsidRDefault="00FE39B2" w:rsidP="00FE39B2">
      <w:p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The task introduced the Naranjo Adverse Drug Reaction Probability Scale, which is used to assess the probability that an adverse reaction is related to a suspected drug.</w:t>
      </w:r>
    </w:p>
    <w:p w14:paraId="7FCE76CB" w14:textId="41CC1F62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The scale considers questions related to:</w:t>
      </w:r>
    </w:p>
    <w:p w14:paraId="45107864" w14:textId="1DA87BA3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Previous conclusive reports</w:t>
      </w:r>
    </w:p>
    <w:p w14:paraId="7E2CF3CD" w14:textId="45D35A54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Temporal association</w:t>
      </w:r>
    </w:p>
    <w:p w14:paraId="0518C0E0" w14:textId="4DBF4DDB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E39B2">
        <w:rPr>
          <w:rFonts w:ascii="Times New Roman" w:hAnsi="Times New Roman" w:cs="Times New Roman"/>
        </w:rPr>
        <w:lastRenderedPageBreak/>
        <w:t>Dechallenge</w:t>
      </w:r>
      <w:proofErr w:type="spellEnd"/>
    </w:p>
    <w:p w14:paraId="61DAF2FE" w14:textId="612AF08A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Rechallenge</w:t>
      </w:r>
    </w:p>
    <w:p w14:paraId="13DE02B3" w14:textId="70429374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Alternative causes</w:t>
      </w:r>
    </w:p>
    <w:p w14:paraId="579EEA36" w14:textId="2BA1E5A2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Placebo response</w:t>
      </w:r>
    </w:p>
    <w:p w14:paraId="44B0E287" w14:textId="3C9B3609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Drug concentration</w:t>
      </w:r>
    </w:p>
    <w:p w14:paraId="0031A4F2" w14:textId="19E9D199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Dose-response relationship</w:t>
      </w:r>
    </w:p>
    <w:p w14:paraId="68E83526" w14:textId="50ABAE8C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Previous similar reactions</w:t>
      </w:r>
    </w:p>
    <w:p w14:paraId="252CE0EA" w14:textId="138F0AFC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Objective evidence</w:t>
      </w:r>
    </w:p>
    <w:p w14:paraId="45BD2EAC" w14:textId="77777777" w:rsidR="00FE39B2" w:rsidRPr="00FE39B2" w:rsidRDefault="00FE39B2" w:rsidP="00FE39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The resulting score can be used to classify the suspected relationship as Definite, Probable, Possible, or Doubtful.</w:t>
      </w:r>
    </w:p>
    <w:p w14:paraId="05B46922" w14:textId="77777777" w:rsidR="00FE39B2" w:rsidRPr="00FE39B2" w:rsidRDefault="00FE39B2" w:rsidP="00FE39B2">
      <w:pPr>
        <w:rPr>
          <w:rFonts w:ascii="Times New Roman" w:hAnsi="Times New Roman" w:cs="Times New Roman"/>
        </w:rPr>
      </w:pPr>
    </w:p>
    <w:p w14:paraId="7531FF5C" w14:textId="77777777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WHO-UMC Causality Assessment</w:t>
      </w:r>
    </w:p>
    <w:p w14:paraId="1A1E6D9A" w14:textId="77777777" w:rsidR="00FE39B2" w:rsidRPr="00FE39B2" w:rsidRDefault="00FE39B2" w:rsidP="00FE39B2">
      <w:pPr>
        <w:rPr>
          <w:rFonts w:ascii="Times New Roman" w:hAnsi="Times New Roman" w:cs="Times New Roman"/>
        </w:rPr>
      </w:pPr>
    </w:p>
    <w:p w14:paraId="12DD5715" w14:textId="654C8342" w:rsidR="00FE39B2" w:rsidRPr="00FE39B2" w:rsidRDefault="00FE39B2" w:rsidP="00FE39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The task also introduced the WHO-UMC causality assessment approach for evaluating the relationship between a medicine and an adverse reaction.</w:t>
      </w:r>
    </w:p>
    <w:p w14:paraId="6B0A4D1E" w14:textId="55D1B18D" w:rsidR="00FE39B2" w:rsidRPr="00FE39B2" w:rsidRDefault="00FE39B2" w:rsidP="00FE39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This helped demonstrate that causality assessment involves considering the timing of the reaction, response after withdrawal, alternative explanations and other available clinical information rather than relying on a single factor.</w:t>
      </w:r>
    </w:p>
    <w:p w14:paraId="203B65F5" w14:textId="279EC4AE" w:rsidR="00FE39B2" w:rsidRPr="00FE39B2" w:rsidRDefault="00FE39B2" w:rsidP="00FE39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Adverse Event vs Adverse Drug Reaction</w:t>
      </w:r>
    </w:p>
    <w:p w14:paraId="55722A50" w14:textId="200982D9" w:rsidR="00FE39B2" w:rsidRPr="00FE39B2" w:rsidRDefault="00FE39B2" w:rsidP="00FE39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The task also covered the distinction between an Adverse Event (AE) and an Adverse Drug Reaction (ADR).</w:t>
      </w:r>
    </w:p>
    <w:p w14:paraId="759BCB51" w14:textId="77777777" w:rsidR="00FE39B2" w:rsidRPr="00FE39B2" w:rsidRDefault="00FE39B2" w:rsidP="00FE39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An adverse event is an unwanted medical occurrence following the use of a medicine, while an adverse drug reaction involves a suspected relationship with the medicinal product.</w:t>
      </w:r>
    </w:p>
    <w:p w14:paraId="10F8D640" w14:textId="77777777" w:rsidR="00FE39B2" w:rsidRDefault="00FE39B2" w:rsidP="00FE39B2">
      <w:pPr>
        <w:rPr>
          <w:rFonts w:ascii="Times New Roman" w:hAnsi="Times New Roman" w:cs="Times New Roman"/>
        </w:rPr>
      </w:pPr>
    </w:p>
    <w:p w14:paraId="5758EB3A" w14:textId="7B8DFB91" w:rsidR="00FE39B2" w:rsidRPr="00FE39B2" w:rsidRDefault="00FE39B2" w:rsidP="00FE39B2">
      <w:pPr>
        <w:rPr>
          <w:rFonts w:ascii="Times New Roman" w:hAnsi="Times New Roman" w:cs="Times New Roman"/>
          <w:b/>
          <w:bCs/>
          <w:u w:val="single"/>
        </w:rPr>
      </w:pPr>
      <w:r w:rsidRPr="00FE39B2">
        <w:rPr>
          <w:rFonts w:ascii="Times New Roman" w:hAnsi="Times New Roman" w:cs="Times New Roman"/>
          <w:b/>
          <w:bCs/>
          <w:u w:val="single"/>
        </w:rPr>
        <w:t>Key Learning Outcomes</w:t>
      </w:r>
    </w:p>
    <w:p w14:paraId="344FBB7F" w14:textId="7C22FB62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Through this task, I learned how to:</w:t>
      </w:r>
    </w:p>
    <w:p w14:paraId="26B8EE47" w14:textId="78482C10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Assess the temporal relationship between a drug and an adverse reaction.</w:t>
      </w:r>
    </w:p>
    <w:p w14:paraId="6D4A405F" w14:textId="1A71048F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 xml:space="preserve">Understand the importance of </w:t>
      </w:r>
      <w:proofErr w:type="spellStart"/>
      <w:r w:rsidRPr="00FE39B2">
        <w:rPr>
          <w:rFonts w:ascii="Times New Roman" w:hAnsi="Times New Roman" w:cs="Times New Roman"/>
        </w:rPr>
        <w:t>dechallenge</w:t>
      </w:r>
      <w:proofErr w:type="spellEnd"/>
      <w:r w:rsidRPr="00FE39B2">
        <w:rPr>
          <w:rFonts w:ascii="Times New Roman" w:hAnsi="Times New Roman" w:cs="Times New Roman"/>
        </w:rPr>
        <w:t xml:space="preserve"> and rechallenge.</w:t>
      </w:r>
    </w:p>
    <w:p w14:paraId="5B53FA56" w14:textId="1BFCE538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Identify possible alternative causes.</w:t>
      </w:r>
    </w:p>
    <w:p w14:paraId="00B981A4" w14:textId="7D807495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Apply the Naranjo ADR Probability Scale.</w:t>
      </w:r>
    </w:p>
    <w:p w14:paraId="43D36C99" w14:textId="18302ED8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Understand the WHO-UMC causality assessment approach.</w:t>
      </w:r>
    </w:p>
    <w:p w14:paraId="20F9FB08" w14:textId="77777777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Differentiate an adverse event from an adverse drug reaction.</w:t>
      </w:r>
    </w:p>
    <w:p w14:paraId="396DA4EB" w14:textId="77777777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Understand how causality assessment supports pharmacovigilance and patient safety.</w:t>
      </w:r>
    </w:p>
    <w:p w14:paraId="00F3548C" w14:textId="77777777" w:rsidR="00FE39B2" w:rsidRPr="00FE39B2" w:rsidRDefault="00FE39B2" w:rsidP="00FE3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Document and evaluate suspected ADR information systematically.</w:t>
      </w:r>
    </w:p>
    <w:p w14:paraId="11FF2A79" w14:textId="77777777" w:rsidR="00FE39B2" w:rsidRPr="00FE39B2" w:rsidRDefault="00FE39B2" w:rsidP="00FE39B2">
      <w:pPr>
        <w:rPr>
          <w:rFonts w:ascii="Times New Roman" w:hAnsi="Times New Roman" w:cs="Times New Roman"/>
        </w:rPr>
      </w:pPr>
    </w:p>
    <w:p w14:paraId="60A52D61" w14:textId="77777777" w:rsidR="00FE39B2" w:rsidRPr="00FE39B2" w:rsidRDefault="00FE39B2" w:rsidP="00FE39B2">
      <w:p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t>Conclusion</w:t>
      </w:r>
    </w:p>
    <w:p w14:paraId="20834917" w14:textId="6BED296B" w:rsidR="00FE39B2" w:rsidRPr="00FE39B2" w:rsidRDefault="00FE39B2" w:rsidP="00FE39B2">
      <w:pPr>
        <w:rPr>
          <w:rFonts w:ascii="Times New Roman" w:hAnsi="Times New Roman" w:cs="Times New Roman"/>
        </w:rPr>
      </w:pPr>
      <w:r w:rsidRPr="00FE39B2">
        <w:rPr>
          <w:rFonts w:ascii="Times New Roman" w:hAnsi="Times New Roman" w:cs="Times New Roman"/>
        </w:rPr>
        <w:lastRenderedPageBreak/>
        <w:t xml:space="preserve">This task provided practical exposure to causality assessment in pharmacovigilance. By working through the Amoxicillin case, I understood how clinical information such as timing, </w:t>
      </w:r>
      <w:proofErr w:type="spellStart"/>
      <w:r w:rsidRPr="00FE39B2">
        <w:rPr>
          <w:rFonts w:ascii="Times New Roman" w:hAnsi="Times New Roman" w:cs="Times New Roman"/>
        </w:rPr>
        <w:t>dechallenge</w:t>
      </w:r>
      <w:proofErr w:type="spellEnd"/>
      <w:r w:rsidRPr="00FE39B2">
        <w:rPr>
          <w:rFonts w:ascii="Times New Roman" w:hAnsi="Times New Roman" w:cs="Times New Roman"/>
        </w:rPr>
        <w:t>, rechallenge and alternative causes is considered when evaluating a suspected drug–reaction relationship. The activity helped me understand the practical application of causality assessment methods in promoting patient safety and rational pharmacovigilance reporting.</w:t>
      </w:r>
    </w:p>
    <w:sectPr w:rsidR="00FE39B2" w:rsidRPr="00FE3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347F"/>
    <w:multiLevelType w:val="hybridMultilevel"/>
    <w:tmpl w:val="6BC25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4330E"/>
    <w:multiLevelType w:val="hybridMultilevel"/>
    <w:tmpl w:val="D1D8F0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61F7D"/>
    <w:multiLevelType w:val="hybridMultilevel"/>
    <w:tmpl w:val="6D0A8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B26F4"/>
    <w:multiLevelType w:val="hybridMultilevel"/>
    <w:tmpl w:val="509CC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24228"/>
    <w:multiLevelType w:val="hybridMultilevel"/>
    <w:tmpl w:val="995E23D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0972C4"/>
    <w:multiLevelType w:val="hybridMultilevel"/>
    <w:tmpl w:val="13086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84D60"/>
    <w:multiLevelType w:val="hybridMultilevel"/>
    <w:tmpl w:val="32EE4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600435">
    <w:abstractNumId w:val="0"/>
  </w:num>
  <w:num w:numId="2" w16cid:durableId="6299892">
    <w:abstractNumId w:val="2"/>
  </w:num>
  <w:num w:numId="3" w16cid:durableId="2076853222">
    <w:abstractNumId w:val="1"/>
  </w:num>
  <w:num w:numId="4" w16cid:durableId="195893939">
    <w:abstractNumId w:val="6"/>
  </w:num>
  <w:num w:numId="5" w16cid:durableId="1391997223">
    <w:abstractNumId w:val="4"/>
  </w:num>
  <w:num w:numId="6" w16cid:durableId="504174449">
    <w:abstractNumId w:val="5"/>
  </w:num>
  <w:num w:numId="7" w16cid:durableId="367032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B2"/>
    <w:rsid w:val="00492142"/>
    <w:rsid w:val="00FE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DF0B"/>
  <w15:chartTrackingRefBased/>
  <w15:docId w15:val="{03A41AF6-03FD-4288-943B-3A78C339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Linkan swain</dc:creator>
  <cp:keywords/>
  <dc:description/>
  <cp:lastModifiedBy>Linkan swain</cp:lastModifiedBy>
  <cp:revision>1</cp:revision>
  <dcterms:created xsi:type="dcterms:W3CDTF">2026-09-29T14:53:00Z</dcterms:created>
  <dcterms:modified xsi:type="dcterms:W3CDTF">2026-09-29T15:02:00Z</dcterms:modified>
</cp:coreProperties>
</file>