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B3AD" w14:textId="77777777" w:rsidR="0030597F" w:rsidRPr="00B40E1C" w:rsidRDefault="0030597F" w:rsidP="003059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0E1C">
        <w:rPr>
          <w:rFonts w:ascii="Times New Roman" w:hAnsi="Times New Roman" w:cs="Times New Roman"/>
          <w:b/>
          <w:bCs/>
          <w:sz w:val="40"/>
          <w:szCs w:val="40"/>
          <w:u w:val="single"/>
        </w:rPr>
        <w:t>TASK 1 – ADR IDENTIFICATION BASICS</w:t>
      </w:r>
    </w:p>
    <w:p w14:paraId="1153A46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My Learning Notes – Pharmacovigilance</w:t>
      </w:r>
    </w:p>
    <w:p w14:paraId="50D6D1DE" w14:textId="6D78C31E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Understanding Adverse Drug Reactions</w:t>
      </w:r>
      <w:r w:rsidRPr="0030597F">
        <w:rPr>
          <w:rFonts w:ascii="Times New Roman" w:hAnsi="Times New Roman" w:cs="Times New Roman"/>
        </w:rPr>
        <w:t>:</w:t>
      </w:r>
    </w:p>
    <w:p w14:paraId="5C3E124E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An Adverse Drug Reaction (ADR) is an unwanted or harmful effect associated with the use of a drug.</w:t>
      </w:r>
    </w:p>
    <w:p w14:paraId="5451205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During this task, I learned that drug effects can be understood as:</w:t>
      </w:r>
    </w:p>
    <w:p w14:paraId="47517F12" w14:textId="446B5860" w:rsidR="0030597F" w:rsidRPr="0030597F" w:rsidRDefault="0030597F" w:rsidP="00305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Pharmacological effect – the effect produced by a drug.</w:t>
      </w:r>
    </w:p>
    <w:p w14:paraId="1C849F7F" w14:textId="14F4B991" w:rsidR="0030597F" w:rsidRPr="0030597F" w:rsidRDefault="0030597F" w:rsidP="00305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Therapeutic effect – the desired effect produced by a drug.</w:t>
      </w:r>
    </w:p>
    <w:p w14:paraId="26E78954" w14:textId="1CE12D54" w:rsidR="0030597F" w:rsidRPr="0030597F" w:rsidRDefault="0030597F" w:rsidP="00305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Adverse effect – an unwanted effect of a drug.</w:t>
      </w:r>
    </w:p>
    <w:p w14:paraId="77A45B2C" w14:textId="2732AC9C" w:rsidR="0030597F" w:rsidRPr="0030597F" w:rsidRDefault="0030597F" w:rsidP="00305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Harmful/Toxic effect – an effect that produces toxicity.</w:t>
      </w:r>
    </w:p>
    <w:p w14:paraId="6C24FCC6" w14:textId="77777777" w:rsidR="0030597F" w:rsidRPr="0030597F" w:rsidRDefault="0030597F" w:rsidP="0030597F">
      <w:pPr>
        <w:rPr>
          <w:rFonts w:ascii="Times New Roman" w:hAnsi="Times New Roman" w:cs="Times New Roman"/>
        </w:rPr>
      </w:pPr>
    </w:p>
    <w:p w14:paraId="6B890581" w14:textId="743A3E22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Thalidomide and Chromosomal Phenomena</w:t>
      </w:r>
    </w:p>
    <w:p w14:paraId="02A529AB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about thalidomide and its association with chromosomal phenomena while understanding drug-related harmful effects.</w:t>
      </w:r>
    </w:p>
    <w:p w14:paraId="153C25B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This helped me understand that some drug-related effects may become important because of their impact on developing or genetic systems.</w:t>
      </w:r>
    </w:p>
    <w:p w14:paraId="3F7FB7D9" w14:textId="3B7D29C0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Types of Toxic Effects</w:t>
      </w:r>
    </w:p>
    <w:p w14:paraId="21BCCC9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Toxic effects can be classified into different categories.</w:t>
      </w:r>
    </w:p>
    <w:p w14:paraId="630063C9" w14:textId="30A6EE3B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Pharmacological Toxicity</w:t>
      </w:r>
    </w:p>
    <w:p w14:paraId="21010E0F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Pharmacological toxicity occurs when the pharmacological action of a drug produces a harmful effect.</w:t>
      </w:r>
    </w:p>
    <w:p w14:paraId="4085087A" w14:textId="1193E9E9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Pathological Toxicity</w:t>
      </w:r>
    </w:p>
    <w:p w14:paraId="4AA2FE8C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toxic effect may be related to pathological conditions or disease-related factors.</w:t>
      </w:r>
    </w:p>
    <w:p w14:paraId="6A0C0C9C" w14:textId="577D0CC4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Genotoxicity</w:t>
      </w:r>
    </w:p>
    <w:p w14:paraId="6B4CAF03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Genotoxicity refers to harmful effects involving genetic material.</w:t>
      </w:r>
    </w:p>
    <w:p w14:paraId="77E2E6F8" w14:textId="3363E2AE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Allergic Reactions</w:t>
      </w:r>
    </w:p>
    <w:p w14:paraId="56C3B30D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Some adverse effects occur because of an immune-mediated reaction to a drug.</w:t>
      </w:r>
    </w:p>
    <w:p w14:paraId="2CB8D669" w14:textId="74CD9C46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Idiosyncratic Reactions</w:t>
      </w:r>
    </w:p>
    <w:p w14:paraId="4A064812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An idiosyncratic reaction is an unusual and unpredictable reaction to a drug.</w:t>
      </w:r>
    </w:p>
    <w:p w14:paraId="6E07B0C7" w14:textId="1A230702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Pharmacogenetic Variation</w:t>
      </w:r>
    </w:p>
    <w:p w14:paraId="3815C51E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Genetic variation between individuals can influence their response to medicines.</w:t>
      </w:r>
    </w:p>
    <w:p w14:paraId="3637EF6F" w14:textId="29360DCC" w:rsidR="0030597F" w:rsidRPr="0030597F" w:rsidRDefault="0030597F" w:rsidP="00305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lastRenderedPageBreak/>
        <w:t>Teratogenic Effects</w:t>
      </w:r>
    </w:p>
    <w:p w14:paraId="1AE93F81" w14:textId="32056676" w:rsid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 xml:space="preserve">Teratogenic effects are associated with harmful effects on the developing </w:t>
      </w:r>
      <w:proofErr w:type="spellStart"/>
      <w:r>
        <w:rPr>
          <w:rFonts w:ascii="Times New Roman" w:hAnsi="Times New Roman" w:cs="Times New Roman"/>
        </w:rPr>
        <w:t>fetus</w:t>
      </w:r>
      <w:proofErr w:type="spellEnd"/>
      <w:r w:rsidRPr="0030597F">
        <w:rPr>
          <w:rFonts w:ascii="Times New Roman" w:hAnsi="Times New Roman" w:cs="Times New Roman"/>
        </w:rPr>
        <w:t>.</w:t>
      </w:r>
    </w:p>
    <w:p w14:paraId="6F52ADD1" w14:textId="77777777" w:rsidR="0030597F" w:rsidRPr="0030597F" w:rsidRDefault="0030597F" w:rsidP="0030597F">
      <w:pPr>
        <w:rPr>
          <w:rFonts w:ascii="Times New Roman" w:hAnsi="Times New Roman" w:cs="Times New Roman"/>
        </w:rPr>
      </w:pPr>
    </w:p>
    <w:p w14:paraId="01360AF7" w14:textId="41C6C96B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Types</w:t>
      </w:r>
      <w:r w:rsidRPr="0030597F">
        <w:rPr>
          <w:rFonts w:ascii="Times New Roman" w:hAnsi="Times New Roman" w:cs="Times New Roman"/>
          <w:b/>
          <w:bCs/>
        </w:rPr>
        <w:t xml:space="preserve"> of ADRs</w:t>
      </w:r>
    </w:p>
    <w:p w14:paraId="114F43B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the classification of ADRs into Type A, Type B, Type C, Type D and Type E.</w:t>
      </w:r>
    </w:p>
    <w:p w14:paraId="28E51D0C" w14:textId="61B5B202" w:rsidR="0030597F" w:rsidRPr="0030597F" w:rsidRDefault="0030597F" w:rsidP="0030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A – Augmented Reaction</w:t>
      </w:r>
    </w:p>
    <w:p w14:paraId="78980D5D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is generally related to the pharmacological action of the drug.</w:t>
      </w:r>
    </w:p>
    <w:p w14:paraId="7C45B39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can be associated with dose-related effects.</w:t>
      </w:r>
    </w:p>
    <w:p w14:paraId="19078166" w14:textId="5D91B55F" w:rsidR="0030597F" w:rsidRPr="0030597F" w:rsidRDefault="0030597F" w:rsidP="0030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B – Bizarre Reaction</w:t>
      </w:r>
    </w:p>
    <w:p w14:paraId="4FFBDBED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is generally unpredictable.</w:t>
      </w:r>
    </w:p>
    <w:p w14:paraId="0C3103F1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may include allergic and idiosyncratic reactions.</w:t>
      </w:r>
    </w:p>
    <w:p w14:paraId="4F70FD28" w14:textId="10D21E2D" w:rsidR="0030597F" w:rsidRPr="0030597F" w:rsidRDefault="0030597F" w:rsidP="0030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C – Chronic Reaction</w:t>
      </w:r>
    </w:p>
    <w:p w14:paraId="3CACC1BF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Associated with prolonged or chronic drug exposure.</w:t>
      </w:r>
    </w:p>
    <w:p w14:paraId="4A918A89" w14:textId="56D2B79C" w:rsidR="0030597F" w:rsidRPr="0030597F" w:rsidRDefault="0030597F" w:rsidP="0030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D – Delayed Reaction</w:t>
      </w:r>
    </w:p>
    <w:p w14:paraId="4C7C94EB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reaction appears after a delay.</w:t>
      </w:r>
    </w:p>
    <w:p w14:paraId="6269CB78" w14:textId="69396D1B" w:rsidR="0030597F" w:rsidRPr="0030597F" w:rsidRDefault="0030597F" w:rsidP="0030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E – End-of-Use Reaction</w:t>
      </w:r>
    </w:p>
    <w:p w14:paraId="0FAF9B1B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Associated with the use or discontinuation of a drug at the end of treatment.</w:t>
      </w:r>
    </w:p>
    <w:p w14:paraId="5EDE0C7C" w14:textId="62E1BE33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Hypersensitivity Reactions</w:t>
      </w:r>
    </w:p>
    <w:p w14:paraId="0791DB4D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that drug hypersensitivity reactions can be classified into four types.</w:t>
      </w:r>
    </w:p>
    <w:p w14:paraId="0196BBD2" w14:textId="4B2E7406" w:rsidR="0030597F" w:rsidRPr="0030597F" w:rsidRDefault="0030597F" w:rsidP="00305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 – Immediate Hypersensitivity</w:t>
      </w:r>
    </w:p>
    <w:p w14:paraId="0EB0062A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This reaction is mediated by IgE.</w:t>
      </w:r>
    </w:p>
    <w:p w14:paraId="11E92672" w14:textId="12F3A58E" w:rsidR="0030597F" w:rsidRPr="0030597F" w:rsidRDefault="0030597F" w:rsidP="00305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II – Cytotoxic Hypersensitivity</w:t>
      </w:r>
    </w:p>
    <w:p w14:paraId="3874905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This reaction is mediated by IgG and IgM antibodies.</w:t>
      </w:r>
    </w:p>
    <w:p w14:paraId="6AD1F5D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 xml:space="preserve">An example discussed in my notes is penicillin-induced </w:t>
      </w:r>
      <w:proofErr w:type="spellStart"/>
      <w:r w:rsidRPr="0030597F">
        <w:rPr>
          <w:rFonts w:ascii="Times New Roman" w:hAnsi="Times New Roman" w:cs="Times New Roman"/>
        </w:rPr>
        <w:t>hemolytic</w:t>
      </w:r>
      <w:proofErr w:type="spellEnd"/>
      <w:r w:rsidRPr="0030597F">
        <w:rPr>
          <w:rFonts w:ascii="Times New Roman" w:hAnsi="Times New Roman" w:cs="Times New Roman"/>
        </w:rPr>
        <w:t xml:space="preserve"> anaemia.</w:t>
      </w:r>
    </w:p>
    <w:p w14:paraId="13D0287F" w14:textId="60B9ED70" w:rsidR="0030597F" w:rsidRPr="0030597F" w:rsidRDefault="0030597F" w:rsidP="00305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III – Immune Complex Reaction</w:t>
      </w:r>
    </w:p>
    <w:p w14:paraId="33AE546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III reactions are associated with immune-complex mechanisms.</w:t>
      </w:r>
    </w:p>
    <w:p w14:paraId="41E892BD" w14:textId="52C104F0" w:rsidR="0030597F" w:rsidRPr="0030597F" w:rsidRDefault="0030597F" w:rsidP="00305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IV – Delayed Hypersensitivity</w:t>
      </w:r>
    </w:p>
    <w:p w14:paraId="125233A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IV is a delayed hypersensitivity reaction.</w:t>
      </w:r>
    </w:p>
    <w:p w14:paraId="76946315" w14:textId="2BEF3843" w:rsidR="0030597F" w:rsidRPr="0030597F" w:rsidRDefault="0030597F" w:rsidP="0030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Pharmacological Toxicity – Paracetamol</w:t>
      </w:r>
    </w:p>
    <w:p w14:paraId="35AA1F8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lastRenderedPageBreak/>
        <w:t>One important example I learned was paracetamol toxicity.</w:t>
      </w:r>
    </w:p>
    <w:p w14:paraId="5A88647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Paracetamol is metabolized by the liver. A small proportion can be converted into the toxic metabolite NAPQI (N-acetyl-p-benzoquinone imine).</w:t>
      </w:r>
    </w:p>
    <w:p w14:paraId="3D83350C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Normally, NAPQI is handled by glutathione.</w:t>
      </w:r>
    </w:p>
    <w:p w14:paraId="6D96E4F3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When excessive paracetamol is taken, the normal metabolic pathways may become overwhelmed. This can result in increased NAPQI and may cause liver toxicity.</w:t>
      </w:r>
    </w:p>
    <w:p w14:paraId="50DA251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Key concept learned:</w:t>
      </w:r>
    </w:p>
    <w:p w14:paraId="6B7698BA" w14:textId="7985A46F" w:rsidR="0030597F" w:rsidRDefault="0030597F" w:rsidP="003059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PARACETAMOL → NAPQI → GLUTATHIONE INVOLVEMENT → LIVER TOXICITY WHEN TOXIC EXPOSURE OCCURS</w:t>
      </w:r>
    </w:p>
    <w:p w14:paraId="1F25D2CE" w14:textId="77777777" w:rsidR="0030597F" w:rsidRPr="0030597F" w:rsidRDefault="0030597F" w:rsidP="0030597F">
      <w:pPr>
        <w:rPr>
          <w:rFonts w:ascii="Times New Roman" w:hAnsi="Times New Roman" w:cs="Times New Roman"/>
          <w:b/>
          <w:bCs/>
        </w:rPr>
      </w:pPr>
    </w:p>
    <w:p w14:paraId="6ED73183" w14:textId="1E358CA6" w:rsidR="0030597F" w:rsidRPr="0030597F" w:rsidRDefault="0030597F" w:rsidP="003059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G</w:t>
      </w:r>
      <w:r w:rsidRPr="0030597F">
        <w:rPr>
          <w:rFonts w:ascii="Times New Roman" w:hAnsi="Times New Roman" w:cs="Times New Roman"/>
          <w:b/>
          <w:bCs/>
        </w:rPr>
        <w:t>enotoxicity</w:t>
      </w:r>
    </w:p>
    <w:p w14:paraId="5093574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about genotoxicity as one of the mechanisms associated with harmful drug effects.</w:t>
      </w:r>
    </w:p>
    <w:p w14:paraId="3F879C1A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Genotoxic effects are related to damage or harmful effects involving genetic material.</w:t>
      </w:r>
    </w:p>
    <w:p w14:paraId="507C6776" w14:textId="72C78ADC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Allergic / Drug Reactions</w:t>
      </w:r>
    </w:p>
    <w:p w14:paraId="4F9A07C9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Drug reactions can occur through different immune mechanisms.</w:t>
      </w:r>
    </w:p>
    <w:p w14:paraId="632995C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classification into Type I, Type II, Type III and Type IV hypersensitivity helps in understanding how different immune responses can produce adverse reactions.</w:t>
      </w:r>
    </w:p>
    <w:p w14:paraId="4D6361AF" w14:textId="2F9A87EB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Teratogenicity</w:t>
      </w:r>
    </w:p>
    <w:p w14:paraId="78A75C79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about teratogenicity as another important type of harmful drug effect.</w:t>
      </w:r>
    </w:p>
    <w:p w14:paraId="47938F5C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pregnancy-related classification discussed in my notes includes:</w:t>
      </w:r>
    </w:p>
    <w:p w14:paraId="02EF8A93" w14:textId="57ED56F8" w:rsidR="0030597F" w:rsidRPr="0030597F" w:rsidRDefault="0030597F" w:rsidP="003059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A – safer category</w:t>
      </w:r>
    </w:p>
    <w:p w14:paraId="3AA3EE30" w14:textId="11BBED8F" w:rsidR="0030597F" w:rsidRPr="0030597F" w:rsidRDefault="0030597F" w:rsidP="003059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B – no evidence of risk in the classification discussed</w:t>
      </w:r>
    </w:p>
    <w:p w14:paraId="3DF5778A" w14:textId="2AB921B8" w:rsidR="0030597F" w:rsidRPr="0030597F" w:rsidRDefault="0030597F" w:rsidP="003059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C – risk category</w:t>
      </w:r>
    </w:p>
    <w:p w14:paraId="0CF7BA49" w14:textId="68828C13" w:rsidR="0030597F" w:rsidRPr="0030597F" w:rsidRDefault="0030597F" w:rsidP="003059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D – evidence of risk</w:t>
      </w:r>
    </w:p>
    <w:p w14:paraId="16B22B22" w14:textId="5410591E" w:rsidR="0030597F" w:rsidRPr="0030597F" w:rsidRDefault="0030597F" w:rsidP="003059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Type X – drugs that should not be used during pregnancy</w:t>
      </w:r>
    </w:p>
    <w:p w14:paraId="4C2D7C0F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 major example discussed was thalidomide, which is associated with severe teratogenic effects.</w:t>
      </w:r>
    </w:p>
    <w:p w14:paraId="07FD3AF2" w14:textId="5D87303E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ADR Classification Based on Time of Action</w:t>
      </w:r>
    </w:p>
    <w:p w14:paraId="18CB142F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that ADRs can also be classified according to how quickly they occur.</w:t>
      </w:r>
    </w:p>
    <w:p w14:paraId="41D20061" w14:textId="67801D5B" w:rsidR="0030597F" w:rsidRPr="0030597F" w:rsidRDefault="0030597F" w:rsidP="003059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Acute</w:t>
      </w:r>
    </w:p>
    <w:p w14:paraId="306550A5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Occurs within a short period, noted in my study material as within 60 minutes.</w:t>
      </w:r>
    </w:p>
    <w:p w14:paraId="39D3A7C1" w14:textId="74E976F1" w:rsidR="0030597F" w:rsidRPr="0030597F" w:rsidRDefault="0030597F" w:rsidP="003059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Sub-acute</w:t>
      </w:r>
    </w:p>
    <w:p w14:paraId="07D75A7A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lastRenderedPageBreak/>
        <w:t>Occurs approximately between 60 minutes and 24 hours.</w:t>
      </w:r>
    </w:p>
    <w:p w14:paraId="6BB6B91C" w14:textId="2DF67BCF" w:rsidR="0030597F" w:rsidRPr="0030597F" w:rsidRDefault="0030597F" w:rsidP="003059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Delayed</w:t>
      </w:r>
    </w:p>
    <w:p w14:paraId="5BE8494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Occurs after a longer period, such as after 2 days or more, depending on the reaction.</w:t>
      </w:r>
    </w:p>
    <w:p w14:paraId="794F139C" w14:textId="64CFD90C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Other Characteristics of ADRs</w:t>
      </w:r>
    </w:p>
    <w:p w14:paraId="69B02F12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ADRs can also be considered according to their clinical impact.</w:t>
      </w:r>
    </w:p>
    <w:p w14:paraId="270AB8DB" w14:textId="463A8EB3" w:rsidR="0030597F" w:rsidRPr="0030597F" w:rsidRDefault="0030597F" w:rsidP="003059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Minor</w:t>
      </w:r>
    </w:p>
    <w:p w14:paraId="616271F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reaction is less serious and may not require major intervention.</w:t>
      </w:r>
    </w:p>
    <w:p w14:paraId="18B9EFDD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Moderate</w:t>
      </w:r>
    </w:p>
    <w:p w14:paraId="3033A57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reaction may require some intervention or change in therapy.</w:t>
      </w:r>
    </w:p>
    <w:p w14:paraId="485E7D59" w14:textId="7C12AEEC" w:rsidR="0030597F" w:rsidRPr="0030597F" w:rsidRDefault="0030597F" w:rsidP="003059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Severe</w:t>
      </w:r>
    </w:p>
    <w:p w14:paraId="6BFB99FE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reaction may require significant medical intervention.</w:t>
      </w:r>
    </w:p>
    <w:p w14:paraId="2E4F9D3C" w14:textId="6B126DA0" w:rsidR="0030597F" w:rsidRPr="0030597F" w:rsidRDefault="0030597F" w:rsidP="003059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Fatal</w:t>
      </w:r>
    </w:p>
    <w:p w14:paraId="3F4FD94B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reaction may result in death.</w:t>
      </w:r>
    </w:p>
    <w:p w14:paraId="754FEB8F" w14:textId="590D69B6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Pharmacovigilance</w:t>
      </w:r>
    </w:p>
    <w:p w14:paraId="160CBA92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that pharmacovigilance is the science and activities concerned with the detection, assessment, understanding and prevention of adverse drug reactions and other medicine-related problems.</w:t>
      </w:r>
    </w:p>
    <w:p w14:paraId="015E42FE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main purpose is to improve the safety of medicines and protect patients from harmful drug-related effects.</w:t>
      </w:r>
    </w:p>
    <w:p w14:paraId="183CB67C" w14:textId="71A17764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Serious Adverse Event</w:t>
      </w:r>
    </w:p>
    <w:p w14:paraId="6C316CF7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A Serious Adverse Event (SAE) is an adverse event that can have serious consequences.</w:t>
      </w:r>
    </w:p>
    <w:p w14:paraId="3F2E34BB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Examples of serious outcomes discussed in my notes include:</w:t>
      </w:r>
    </w:p>
    <w:p w14:paraId="6AA9C8DE" w14:textId="76946244" w:rsidR="0030597F" w:rsidRPr="0030597F" w:rsidRDefault="0030597F" w:rsidP="003059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Life-threatening condition</w:t>
      </w:r>
    </w:p>
    <w:p w14:paraId="0E8BCBD0" w14:textId="77F2754A" w:rsidR="0030597F" w:rsidRPr="0030597F" w:rsidRDefault="0030597F" w:rsidP="003059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Death</w:t>
      </w:r>
    </w:p>
    <w:p w14:paraId="241691E7" w14:textId="7103F59D" w:rsidR="0030597F" w:rsidRPr="0030597F" w:rsidRDefault="0030597F" w:rsidP="003059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Disability</w:t>
      </w:r>
    </w:p>
    <w:p w14:paraId="10E80C42" w14:textId="30B4F07A" w:rsidR="0030597F" w:rsidRPr="0030597F" w:rsidRDefault="0030597F" w:rsidP="003059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Congenital abnormality</w:t>
      </w:r>
    </w:p>
    <w:p w14:paraId="312B0270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also learned that events requiring intervention to prevent serious outcomes may be considered serious.</w:t>
      </w:r>
    </w:p>
    <w:p w14:paraId="5A0960F2" w14:textId="50A390F0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Causality Assessment</w:t>
      </w:r>
    </w:p>
    <w:p w14:paraId="34D9111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Causality assessment is used to evaluate whether an adverse event is related to a particular drug.</w:t>
      </w:r>
    </w:p>
    <w:p w14:paraId="0671456C" w14:textId="77777777" w:rsidR="0030597F" w:rsidRPr="0030597F" w:rsidRDefault="0030597F" w:rsidP="0030597F">
      <w:p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</w:rPr>
        <w:t xml:space="preserve">One of the approaches I learned about was the </w:t>
      </w:r>
      <w:r w:rsidRPr="0030597F">
        <w:rPr>
          <w:rFonts w:ascii="Times New Roman" w:hAnsi="Times New Roman" w:cs="Times New Roman"/>
          <w:b/>
          <w:bCs/>
        </w:rPr>
        <w:t>Bradford Hill criteria.</w:t>
      </w:r>
    </w:p>
    <w:p w14:paraId="4280FE33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lastRenderedPageBreak/>
        <w:t>The criteria help in considering whether an observed relationship may indicate causation.</w:t>
      </w:r>
    </w:p>
    <w:p w14:paraId="69A4CCAE" w14:textId="7E5B0539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WHO–UMC Scale</w:t>
      </w:r>
    </w:p>
    <w:p w14:paraId="724D2D7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about the WHO–UMC causality assessment scale as a method used in pharmacovigilance to assess the relationship between a suspected drug and an adverse event.</w:t>
      </w:r>
    </w:p>
    <w:p w14:paraId="00DAB206" w14:textId="77777777" w:rsid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helps in systematically assessing whether a drug is likely to be responsible for a reported reaction.</w:t>
      </w:r>
    </w:p>
    <w:p w14:paraId="4F5F47F1" w14:textId="07CDE519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Naranjo Algorithm</w:t>
      </w:r>
    </w:p>
    <w:p w14:paraId="1557D367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Naranjo Algorithm is another method used for causality assessment of suspected ADRs.</w:t>
      </w:r>
    </w:p>
    <w:p w14:paraId="6555CAA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It provides a structured approach to evaluate whether an adverse event is associated with a particular drug.</w:t>
      </w:r>
    </w:p>
    <w:p w14:paraId="274BE692" w14:textId="269848E0" w:rsidR="0030597F" w:rsidRPr="0030597F" w:rsidRDefault="0030597F" w:rsidP="003059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0597F">
        <w:rPr>
          <w:rFonts w:ascii="Times New Roman" w:hAnsi="Times New Roman" w:cs="Times New Roman"/>
          <w:b/>
          <w:bCs/>
        </w:rPr>
        <w:t>Key Learning from Task 1</w:t>
      </w:r>
    </w:p>
    <w:p w14:paraId="25D94595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Through Task 1 – ADR Identification Basics, I learned:</w:t>
      </w:r>
    </w:p>
    <w:p w14:paraId="1B4F371A" w14:textId="39E441F5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basic concept of an Adverse Drug Reaction.</w:t>
      </w:r>
    </w:p>
    <w:p w14:paraId="4901AF58" w14:textId="5C792664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difference between therapeutic, adverse and toxic effects.</w:t>
      </w:r>
    </w:p>
    <w:p w14:paraId="60B0A712" w14:textId="7C2E81E8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Type A–E classification of ADRs.</w:t>
      </w:r>
    </w:p>
    <w:p w14:paraId="74065127" w14:textId="52D9FBB0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four major types of hypersensitivity reactions.</w:t>
      </w:r>
    </w:p>
    <w:p w14:paraId="3164296C" w14:textId="7E35988F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concepts of pharmacological toxicity, genotoxicity, allergic reactions, idiosyncratic reactions, pharmacogenetic variation and teratogenicity.</w:t>
      </w:r>
    </w:p>
    <w:p w14:paraId="6A95EF92" w14:textId="11966697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Paracetamol-induced liver toxicity and the role of NAPQI and glutathione.</w:t>
      </w:r>
    </w:p>
    <w:p w14:paraId="15149DFE" w14:textId="5C78565E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Classification of ADRs according to their time of occurrence.</w:t>
      </w:r>
    </w:p>
    <w:p w14:paraId="52FDC69B" w14:textId="3EE91CC7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Classification according to their clinical impact such as minor, moderate, severe and fatal.</w:t>
      </w:r>
    </w:p>
    <w:p w14:paraId="6CB8FE06" w14:textId="2F98E625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basic role of pharmacovigilance.</w:t>
      </w:r>
    </w:p>
    <w:p w14:paraId="0FF62498" w14:textId="51E137A8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concept of a Serious Adverse Event (SAE).</w:t>
      </w:r>
    </w:p>
    <w:p w14:paraId="70E68ACC" w14:textId="43094CAE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importance of causality assessment.</w:t>
      </w:r>
    </w:p>
    <w:p w14:paraId="57679B0F" w14:textId="30DDA0E3" w:rsidR="0030597F" w:rsidRPr="00B40E1C" w:rsidRDefault="0030597F" w:rsidP="00B40E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0E1C">
        <w:rPr>
          <w:rFonts w:ascii="Times New Roman" w:hAnsi="Times New Roman" w:cs="Times New Roman"/>
        </w:rPr>
        <w:t>The Bradford Hill criteria, WHO–UMC scale and Naranjo Algorithm as approaches used in assessing drug-event relationships.</w:t>
      </w:r>
    </w:p>
    <w:p w14:paraId="3CB47E78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Conclusion</w:t>
      </w:r>
    </w:p>
    <w:p w14:paraId="73648A45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Task 1 helped me build a basic understanding of Adverse Drug Reactions and Pharmacovigilance.</w:t>
      </w:r>
    </w:p>
    <w:p w14:paraId="7319809C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 learned how ADRs can be classified according to their mechanism, timing and clinical impact. I also learned about different mechanisms of adverse reactions, including toxicity, hypersensitivity, idiosyncratic reactions, genotoxicity and teratogenicity.</w:t>
      </w:r>
    </w:p>
    <w:p w14:paraId="3467D12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The task also introduced me to causality assessment and the importance of approaches such as the Bradford Hill criteria, WHO–UMC scale and Naranjo Algorithm in evaluating suspected drug-related adverse events.</w:t>
      </w:r>
    </w:p>
    <w:p w14:paraId="0DCF1E49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lastRenderedPageBreak/>
        <w:t>This task provided me with a foundation for understanding how adverse drug reactions are identified and assessed in pharmacovigilance.</w:t>
      </w:r>
    </w:p>
    <w:p w14:paraId="5DC97F94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Name: Linkan Swain</w:t>
      </w:r>
    </w:p>
    <w:p w14:paraId="16303F4A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 xml:space="preserve">Course: </w:t>
      </w:r>
      <w:proofErr w:type="spellStart"/>
      <w:proofErr w:type="gramStart"/>
      <w:r w:rsidRPr="0030597F">
        <w:rPr>
          <w:rFonts w:ascii="Times New Roman" w:hAnsi="Times New Roman" w:cs="Times New Roman"/>
        </w:rPr>
        <w:t>B.Pharm</w:t>
      </w:r>
      <w:proofErr w:type="spellEnd"/>
      <w:proofErr w:type="gramEnd"/>
    </w:p>
    <w:p w14:paraId="53F8AA49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Internship Domain: Pharmacovigilance</w:t>
      </w:r>
    </w:p>
    <w:p w14:paraId="05A99966" w14:textId="77777777" w:rsidR="0030597F" w:rsidRPr="0030597F" w:rsidRDefault="0030597F" w:rsidP="0030597F">
      <w:pPr>
        <w:rPr>
          <w:rFonts w:ascii="Times New Roman" w:hAnsi="Times New Roman" w:cs="Times New Roman"/>
        </w:rPr>
      </w:pPr>
      <w:r w:rsidRPr="0030597F">
        <w:rPr>
          <w:rFonts w:ascii="Times New Roman" w:hAnsi="Times New Roman" w:cs="Times New Roman"/>
        </w:rPr>
        <w:t>Task: Task 1 – ADR Identification Basics</w:t>
      </w:r>
    </w:p>
    <w:p w14:paraId="3625B6F1" w14:textId="30A270C3" w:rsidR="0030597F" w:rsidRPr="0030597F" w:rsidRDefault="00B40E1C" w:rsidP="0030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Organisation</w:t>
      </w:r>
      <w:r w:rsidR="0030597F" w:rsidRPr="0030597F">
        <w:rPr>
          <w:rFonts w:ascii="Times New Roman" w:hAnsi="Times New Roman" w:cs="Times New Roman"/>
        </w:rPr>
        <w:t>: VirtualWorks Lab</w:t>
      </w:r>
    </w:p>
    <w:sectPr w:rsidR="0030597F" w:rsidRPr="00305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E17"/>
    <w:multiLevelType w:val="hybridMultilevel"/>
    <w:tmpl w:val="46A6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05F9"/>
    <w:multiLevelType w:val="hybridMultilevel"/>
    <w:tmpl w:val="76FE7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3A51"/>
    <w:multiLevelType w:val="hybridMultilevel"/>
    <w:tmpl w:val="2FECF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0086"/>
    <w:multiLevelType w:val="hybridMultilevel"/>
    <w:tmpl w:val="B616F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03DD7"/>
    <w:multiLevelType w:val="hybridMultilevel"/>
    <w:tmpl w:val="DC0C4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E23F1"/>
    <w:multiLevelType w:val="hybridMultilevel"/>
    <w:tmpl w:val="706EA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44059"/>
    <w:multiLevelType w:val="hybridMultilevel"/>
    <w:tmpl w:val="08C6F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6C"/>
    <w:multiLevelType w:val="hybridMultilevel"/>
    <w:tmpl w:val="DF88F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23678"/>
    <w:multiLevelType w:val="hybridMultilevel"/>
    <w:tmpl w:val="88802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96B83"/>
    <w:multiLevelType w:val="hybridMultilevel"/>
    <w:tmpl w:val="0D944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D4F09"/>
    <w:multiLevelType w:val="hybridMultilevel"/>
    <w:tmpl w:val="DAD00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665DC"/>
    <w:multiLevelType w:val="hybridMultilevel"/>
    <w:tmpl w:val="A5DC7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363493">
    <w:abstractNumId w:val="6"/>
  </w:num>
  <w:num w:numId="2" w16cid:durableId="50427368">
    <w:abstractNumId w:val="3"/>
  </w:num>
  <w:num w:numId="3" w16cid:durableId="112135710">
    <w:abstractNumId w:val="5"/>
  </w:num>
  <w:num w:numId="4" w16cid:durableId="1079906738">
    <w:abstractNumId w:val="2"/>
  </w:num>
  <w:num w:numId="5" w16cid:durableId="945232226">
    <w:abstractNumId w:val="9"/>
  </w:num>
  <w:num w:numId="6" w16cid:durableId="443498770">
    <w:abstractNumId w:val="0"/>
  </w:num>
  <w:num w:numId="7" w16cid:durableId="257494762">
    <w:abstractNumId w:val="7"/>
  </w:num>
  <w:num w:numId="8" w16cid:durableId="1553537514">
    <w:abstractNumId w:val="4"/>
  </w:num>
  <w:num w:numId="9" w16cid:durableId="634723467">
    <w:abstractNumId w:val="1"/>
  </w:num>
  <w:num w:numId="10" w16cid:durableId="303431851">
    <w:abstractNumId w:val="11"/>
  </w:num>
  <w:num w:numId="11" w16cid:durableId="1639411898">
    <w:abstractNumId w:val="10"/>
  </w:num>
  <w:num w:numId="12" w16cid:durableId="1592398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7F"/>
    <w:rsid w:val="0030597F"/>
    <w:rsid w:val="009531FD"/>
    <w:rsid w:val="00B4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0D8E"/>
  <w15:chartTrackingRefBased/>
  <w15:docId w15:val="{577BB21E-C2BD-4F76-8016-E907E271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Linkan swain</dc:creator>
  <cp:keywords/>
  <dc:description/>
  <cp:lastModifiedBy>Linkan swain</cp:lastModifiedBy>
  <cp:revision>1</cp:revision>
  <dcterms:created xsi:type="dcterms:W3CDTF">2026-09-21T16:44:00Z</dcterms:created>
  <dcterms:modified xsi:type="dcterms:W3CDTF">2026-09-21T16:58:00Z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fe4bff11-f944-4102-b5f8-beada753cd4a</vt:lpwstr>
  </property>
</Properties>
</file>