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13" w:rsidRDefault="00D91E13" w:rsidP="00D91E13">
      <w:pPr>
        <w:spacing w:line="240" w:lineRule="auto"/>
        <w:rPr>
          <w:rFonts w:cstheme="minorHAnsi"/>
          <w:b/>
          <w:bCs/>
          <w:color w:val="808080" w:themeColor="background1" w:themeShade="80"/>
          <w:sz w:val="24"/>
          <w:szCs w:val="24"/>
        </w:rPr>
      </w:pPr>
      <w:r>
        <w:rPr>
          <w:rFonts w:cstheme="minorHAnsi"/>
          <w:b/>
          <w:bCs/>
          <w:color w:val="808080" w:themeColor="background1" w:themeShade="80"/>
          <w:sz w:val="24"/>
          <w:szCs w:val="24"/>
        </w:rPr>
        <w:t>PROGRAMA</w:t>
      </w:r>
      <w:r w:rsidR="00F068C1">
        <w:rPr>
          <w:rFonts w:cstheme="minorHAnsi"/>
          <w:b/>
          <w:bCs/>
          <w:color w:val="808080" w:themeColor="background1" w:themeShade="80"/>
          <w:sz w:val="24"/>
          <w:szCs w:val="24"/>
        </w:rPr>
        <w:t xml:space="preserve">  JORNADAS FORMATIVAS GESTIÓN CULTURAL [MUA] 9-13 mayo 2011</w:t>
      </w:r>
      <w:bookmarkStart w:id="0" w:name="_GoBack"/>
      <w:bookmarkEnd w:id="0"/>
      <w:r w:rsidR="00F068C1">
        <w:rPr>
          <w:rFonts w:cstheme="minorHAnsi"/>
          <w:b/>
          <w:bCs/>
          <w:color w:val="808080" w:themeColor="background1" w:themeShade="80"/>
          <w:sz w:val="24"/>
          <w:szCs w:val="24"/>
        </w:rPr>
        <w:t xml:space="preserve">                                     </w:t>
      </w:r>
    </w:p>
    <w:p w:rsidR="00D91E13" w:rsidRDefault="00D91E13" w:rsidP="00D91E13">
      <w:pPr>
        <w:spacing w:line="240" w:lineRule="auto"/>
        <w:rPr>
          <w:rFonts w:cstheme="minorHAnsi"/>
          <w:b/>
          <w:bCs/>
          <w:color w:val="808080" w:themeColor="background1" w:themeShade="80"/>
          <w:sz w:val="24"/>
          <w:szCs w:val="24"/>
        </w:rPr>
      </w:pPr>
      <w:r w:rsidRPr="00DB69B4">
        <w:rPr>
          <w:rFonts w:cstheme="minorHAnsi"/>
          <w:b/>
          <w:bCs/>
          <w:color w:val="808080" w:themeColor="background1" w:themeShade="80"/>
          <w:sz w:val="24"/>
          <w:szCs w:val="24"/>
        </w:rPr>
        <w:t>9 mayo</w:t>
      </w:r>
    </w:p>
    <w:p w:rsidR="00D91E13" w:rsidRDefault="00D91E13" w:rsidP="00D91E13">
      <w:pPr>
        <w:spacing w:line="240" w:lineRule="auto"/>
        <w:rPr>
          <w:rFonts w:cstheme="minorHAnsi"/>
          <w:b/>
          <w:bCs/>
          <w:sz w:val="30"/>
          <w:szCs w:val="30"/>
        </w:rPr>
      </w:pPr>
      <w:r w:rsidRPr="00EC2F7B">
        <w:rPr>
          <w:rFonts w:cstheme="minorHAnsi"/>
          <w:b/>
          <w:bCs/>
          <w:sz w:val="30"/>
          <w:szCs w:val="30"/>
        </w:rPr>
        <w:t>Presentación</w:t>
      </w:r>
    </w:p>
    <w:p w:rsidR="00D91E13" w:rsidRPr="00EC2F7B" w:rsidRDefault="00D91E13" w:rsidP="00D91E13">
      <w:pPr>
        <w:spacing w:line="240" w:lineRule="auto"/>
        <w:rPr>
          <w:rFonts w:cstheme="minorHAnsi"/>
          <w:bCs/>
          <w:sz w:val="24"/>
          <w:szCs w:val="24"/>
        </w:rPr>
      </w:pPr>
      <w:r w:rsidRPr="00EC2F7B">
        <w:rPr>
          <w:rFonts w:cstheme="minorHAnsi"/>
          <w:bCs/>
          <w:sz w:val="24"/>
          <w:szCs w:val="24"/>
        </w:rPr>
        <w:t>A cargo de D. Mauro Hernández</w:t>
      </w:r>
      <w:r>
        <w:rPr>
          <w:rFonts w:cstheme="minorHAnsi"/>
          <w:bCs/>
          <w:sz w:val="24"/>
          <w:szCs w:val="24"/>
        </w:rPr>
        <w:t>, director del MUA,</w:t>
      </w:r>
      <w:r w:rsidRPr="00EC2F7B">
        <w:rPr>
          <w:rFonts w:cstheme="minorHAnsi"/>
          <w:bCs/>
          <w:sz w:val="24"/>
          <w:szCs w:val="24"/>
        </w:rPr>
        <w:t xml:space="preserve"> y D. </w:t>
      </w:r>
      <w:proofErr w:type="spellStart"/>
      <w:r w:rsidRPr="00EC2F7B">
        <w:rPr>
          <w:rFonts w:cstheme="minorHAnsi"/>
          <w:bCs/>
          <w:sz w:val="24"/>
          <w:szCs w:val="24"/>
        </w:rPr>
        <w:t>Jose</w:t>
      </w:r>
      <w:proofErr w:type="spellEnd"/>
      <w:r w:rsidRPr="00EC2F7B">
        <w:rPr>
          <w:rFonts w:cstheme="minorHAnsi"/>
          <w:bCs/>
          <w:sz w:val="24"/>
          <w:szCs w:val="24"/>
        </w:rPr>
        <w:t xml:space="preserve"> Ángel Lorente</w:t>
      </w:r>
      <w:r>
        <w:rPr>
          <w:rFonts w:cstheme="minorHAnsi"/>
          <w:bCs/>
          <w:sz w:val="24"/>
          <w:szCs w:val="24"/>
        </w:rPr>
        <w:t>, Plano B.</w:t>
      </w:r>
    </w:p>
    <w:p w:rsidR="00D91E13" w:rsidRPr="00DB69B4" w:rsidRDefault="00D91E13" w:rsidP="00D91E13">
      <w:pPr>
        <w:spacing w:line="240" w:lineRule="auto"/>
        <w:rPr>
          <w:rFonts w:cstheme="minorHAnsi"/>
          <w:b/>
          <w:bCs/>
          <w:sz w:val="30"/>
          <w:szCs w:val="30"/>
        </w:rPr>
      </w:pPr>
      <w:r w:rsidRPr="00DB69B4">
        <w:rPr>
          <w:rFonts w:cstheme="minorHAnsi"/>
          <w:b/>
          <w:bCs/>
          <w:sz w:val="30"/>
          <w:szCs w:val="30"/>
        </w:rPr>
        <w:t>Diseño de proyectos culturales</w:t>
      </w:r>
    </w:p>
    <w:p w:rsidR="00D91E13" w:rsidRPr="00DB69B4" w:rsidRDefault="00D91E13" w:rsidP="00D91E13">
      <w:pPr>
        <w:spacing w:line="240" w:lineRule="auto"/>
        <w:rPr>
          <w:rFonts w:cstheme="minorHAnsi"/>
          <w:bCs/>
          <w:sz w:val="24"/>
          <w:szCs w:val="24"/>
        </w:rPr>
      </w:pPr>
      <w:r w:rsidRPr="00DB69B4">
        <w:rPr>
          <w:rFonts w:cstheme="minorHAnsi"/>
          <w:b/>
          <w:bCs/>
          <w:sz w:val="24"/>
          <w:szCs w:val="24"/>
        </w:rPr>
        <w:t>Álvaro Vargas</w:t>
      </w:r>
      <w:r w:rsidRPr="00DB69B4">
        <w:rPr>
          <w:rFonts w:cstheme="minorHAnsi"/>
          <w:bCs/>
          <w:sz w:val="24"/>
          <w:szCs w:val="24"/>
        </w:rPr>
        <w:t xml:space="preserve"> [director Galería de arte Plano B y gestor cultural]</w:t>
      </w:r>
    </w:p>
    <w:p w:rsidR="00D91E13" w:rsidRPr="00DB69B4" w:rsidRDefault="00D91E13" w:rsidP="00D91E13">
      <w:pPr>
        <w:spacing w:line="240" w:lineRule="auto"/>
        <w:jc w:val="both"/>
        <w:rPr>
          <w:rFonts w:cstheme="minorHAnsi"/>
          <w:bCs/>
          <w:sz w:val="24"/>
          <w:szCs w:val="24"/>
        </w:rPr>
      </w:pPr>
      <w:r w:rsidRPr="00DB69B4">
        <w:rPr>
          <w:rFonts w:cstheme="minorHAnsi"/>
          <w:bCs/>
          <w:sz w:val="24"/>
          <w:szCs w:val="24"/>
        </w:rPr>
        <w:t xml:space="preserve">Con este módulo se pretende ofrecer un modelo genérico y práctico de aplicación a la plasmación de cualquier proyecto cultural. </w:t>
      </w:r>
    </w:p>
    <w:p w:rsidR="00D91E13" w:rsidRPr="00DB69B4" w:rsidRDefault="00D91E13" w:rsidP="00D91E13">
      <w:pPr>
        <w:spacing w:line="240" w:lineRule="auto"/>
        <w:jc w:val="both"/>
        <w:rPr>
          <w:rFonts w:cstheme="minorHAnsi"/>
          <w:bCs/>
          <w:sz w:val="24"/>
          <w:szCs w:val="24"/>
        </w:rPr>
      </w:pPr>
      <w:r w:rsidRPr="00DB69B4">
        <w:rPr>
          <w:rFonts w:cstheme="minorHAnsi"/>
          <w:bCs/>
          <w:sz w:val="24"/>
          <w:szCs w:val="24"/>
        </w:rPr>
        <w:t xml:space="preserve">Si en alguna ocasión has tenido alguna idea para alguna actividad en el ámbito cultural, pero dudas a la hora de presentarla a alguna institución pública o empresa de gestión cultural, en este curso daremos las pautas para la elaboración de un documento que recoja todos los aspectos que le pueden interesar a nuestro interlocutor para que el proyecto, esa idea </w:t>
      </w:r>
      <w:proofErr w:type="spellStart"/>
      <w:r w:rsidRPr="00DB69B4">
        <w:rPr>
          <w:rFonts w:cstheme="minorHAnsi"/>
          <w:bCs/>
          <w:sz w:val="24"/>
          <w:szCs w:val="24"/>
        </w:rPr>
        <w:t>inical</w:t>
      </w:r>
      <w:proofErr w:type="spellEnd"/>
      <w:r w:rsidRPr="00DB69B4">
        <w:rPr>
          <w:rFonts w:cstheme="minorHAnsi"/>
          <w:bCs/>
          <w:sz w:val="24"/>
          <w:szCs w:val="24"/>
        </w:rPr>
        <w:t xml:space="preserve"> se ponga en marcha</w:t>
      </w:r>
    </w:p>
    <w:p w:rsidR="00D91E13" w:rsidRPr="00DB69B4" w:rsidRDefault="00D91E13" w:rsidP="00D91E13">
      <w:pPr>
        <w:spacing w:line="240" w:lineRule="auto"/>
        <w:jc w:val="both"/>
        <w:rPr>
          <w:rFonts w:cstheme="minorHAnsi"/>
          <w:b/>
          <w:bCs/>
          <w:color w:val="808080" w:themeColor="background1" w:themeShade="80"/>
          <w:sz w:val="24"/>
          <w:szCs w:val="24"/>
        </w:rPr>
      </w:pPr>
      <w:r w:rsidRPr="00DB69B4">
        <w:rPr>
          <w:rFonts w:cstheme="minorHAnsi"/>
          <w:b/>
          <w:bCs/>
          <w:color w:val="808080" w:themeColor="background1" w:themeShade="80"/>
          <w:sz w:val="24"/>
          <w:szCs w:val="24"/>
        </w:rPr>
        <w:t>10 mayo</w:t>
      </w:r>
    </w:p>
    <w:p w:rsidR="00D91E13" w:rsidRPr="00DB69B4" w:rsidRDefault="00D91E13" w:rsidP="00D91E13">
      <w:pPr>
        <w:spacing w:line="240" w:lineRule="auto"/>
        <w:jc w:val="both"/>
        <w:rPr>
          <w:rFonts w:cstheme="minorHAnsi"/>
          <w:b/>
          <w:bCs/>
          <w:sz w:val="30"/>
          <w:szCs w:val="30"/>
        </w:rPr>
      </w:pPr>
      <w:r>
        <w:rPr>
          <w:rFonts w:cstheme="minorHAnsi"/>
          <w:b/>
          <w:bCs/>
          <w:sz w:val="30"/>
          <w:szCs w:val="30"/>
        </w:rPr>
        <w:t>Marketing Cultural</w:t>
      </w:r>
    </w:p>
    <w:p w:rsidR="00D91E13" w:rsidRPr="00DB69B4" w:rsidRDefault="00D91E13" w:rsidP="00D91E13">
      <w:pPr>
        <w:spacing w:line="240" w:lineRule="auto"/>
        <w:jc w:val="both"/>
        <w:rPr>
          <w:rFonts w:cstheme="minorHAnsi"/>
          <w:bCs/>
          <w:sz w:val="24"/>
          <w:szCs w:val="24"/>
        </w:rPr>
      </w:pPr>
      <w:r w:rsidRPr="00DB69B4">
        <w:rPr>
          <w:rFonts w:cstheme="minorHAnsi"/>
          <w:b/>
          <w:bCs/>
          <w:sz w:val="24"/>
          <w:szCs w:val="24"/>
        </w:rPr>
        <w:t>Mercedes Fernández</w:t>
      </w:r>
      <w:r w:rsidRPr="00DB69B4">
        <w:rPr>
          <w:rFonts w:cstheme="minorHAnsi"/>
          <w:bCs/>
          <w:sz w:val="24"/>
          <w:szCs w:val="24"/>
        </w:rPr>
        <w:t xml:space="preserve"> [Responsable del departamento de Comunicació</w:t>
      </w:r>
      <w:r w:rsidR="005C26CF">
        <w:rPr>
          <w:rFonts w:cstheme="minorHAnsi"/>
          <w:bCs/>
          <w:sz w:val="24"/>
          <w:szCs w:val="24"/>
        </w:rPr>
        <w:t>n y Ma</w:t>
      </w:r>
      <w:r w:rsidRPr="00DB69B4">
        <w:rPr>
          <w:rFonts w:cstheme="minorHAnsi"/>
          <w:bCs/>
          <w:sz w:val="24"/>
          <w:szCs w:val="24"/>
        </w:rPr>
        <w:t>rketing De Manifesta 8]</w:t>
      </w:r>
    </w:p>
    <w:p w:rsidR="00D91E13" w:rsidRPr="00DB69B4" w:rsidRDefault="00D91E13" w:rsidP="00D91E13">
      <w:pPr>
        <w:spacing w:line="240" w:lineRule="auto"/>
        <w:jc w:val="both"/>
        <w:rPr>
          <w:rFonts w:cstheme="minorHAnsi"/>
          <w:bCs/>
          <w:sz w:val="24"/>
          <w:szCs w:val="24"/>
        </w:rPr>
      </w:pPr>
      <w:r w:rsidRPr="00DB69B4">
        <w:rPr>
          <w:rFonts w:cstheme="minorHAnsi"/>
          <w:bCs/>
          <w:sz w:val="24"/>
          <w:szCs w:val="24"/>
        </w:rPr>
        <w:t>El presente módulo está diseñado para dar una amplia visión de cómo se materializa un proyecto de marketing aplicado a una institución o evento cultural. Durante esta sesión se abordarán los siguientes aspectos:</w:t>
      </w:r>
    </w:p>
    <w:p w:rsidR="00D91E13" w:rsidRPr="00DB69B4" w:rsidRDefault="00D91E13" w:rsidP="00D91E13">
      <w:pPr>
        <w:spacing w:after="0" w:line="240" w:lineRule="auto"/>
        <w:rPr>
          <w:rFonts w:cstheme="minorHAnsi"/>
          <w:sz w:val="24"/>
          <w:szCs w:val="24"/>
        </w:rPr>
      </w:pPr>
      <w:r w:rsidRPr="00DB69B4">
        <w:rPr>
          <w:rFonts w:cstheme="minorHAnsi"/>
          <w:sz w:val="24"/>
          <w:szCs w:val="24"/>
        </w:rPr>
        <w:t>-</w:t>
      </w:r>
      <w:r>
        <w:rPr>
          <w:rFonts w:cstheme="minorHAnsi"/>
          <w:sz w:val="24"/>
          <w:szCs w:val="24"/>
        </w:rPr>
        <w:t>La Cultura como producto</w:t>
      </w:r>
      <w:r w:rsidRPr="00DB69B4">
        <w:rPr>
          <w:rFonts w:cstheme="minorHAnsi"/>
          <w:sz w:val="24"/>
          <w:szCs w:val="24"/>
        </w:rPr>
        <w:t>. ¿Es lo mismo vender cultura que vender casas?</w:t>
      </w:r>
    </w:p>
    <w:p w:rsidR="00D91E13" w:rsidRPr="00DB69B4" w:rsidRDefault="00D91E13" w:rsidP="00D91E13">
      <w:pPr>
        <w:spacing w:after="0" w:line="240" w:lineRule="auto"/>
        <w:rPr>
          <w:rFonts w:cstheme="minorHAnsi"/>
          <w:sz w:val="24"/>
          <w:szCs w:val="24"/>
        </w:rPr>
      </w:pPr>
      <w:r w:rsidRPr="00DB69B4">
        <w:rPr>
          <w:rFonts w:cstheme="minorHAnsi"/>
          <w:sz w:val="24"/>
          <w:szCs w:val="24"/>
        </w:rPr>
        <w:t>-</w:t>
      </w:r>
      <w:r>
        <w:rPr>
          <w:rFonts w:cstheme="minorHAnsi"/>
          <w:sz w:val="24"/>
          <w:szCs w:val="24"/>
        </w:rPr>
        <w:t>En Marketing hacemos de todo</w:t>
      </w:r>
      <w:r w:rsidRPr="00DB69B4">
        <w:rPr>
          <w:rFonts w:cstheme="minorHAnsi"/>
          <w:sz w:val="24"/>
          <w:szCs w:val="24"/>
        </w:rPr>
        <w:t>. Bases para enfrentarnos a una estrategia de Marketing cultural.</w:t>
      </w:r>
    </w:p>
    <w:p w:rsidR="00D91E13" w:rsidRPr="00DB69B4" w:rsidRDefault="00D91E13" w:rsidP="00D91E13">
      <w:pPr>
        <w:spacing w:after="0" w:line="240" w:lineRule="auto"/>
        <w:rPr>
          <w:rFonts w:cstheme="minorHAnsi"/>
          <w:sz w:val="24"/>
          <w:szCs w:val="24"/>
        </w:rPr>
      </w:pPr>
      <w:r w:rsidRPr="00DB69B4">
        <w:rPr>
          <w:rFonts w:cstheme="minorHAnsi"/>
          <w:sz w:val="24"/>
          <w:szCs w:val="24"/>
        </w:rPr>
        <w:t>-M</w:t>
      </w:r>
      <w:r>
        <w:rPr>
          <w:rFonts w:cstheme="minorHAnsi"/>
          <w:sz w:val="24"/>
          <w:szCs w:val="24"/>
        </w:rPr>
        <w:t>arketing y comunicación cultural</w:t>
      </w:r>
      <w:r w:rsidRPr="00DB69B4">
        <w:rPr>
          <w:rFonts w:cstheme="minorHAnsi"/>
          <w:sz w:val="24"/>
          <w:szCs w:val="24"/>
        </w:rPr>
        <w:t>, un matrimonio condenado a entenderse.</w:t>
      </w:r>
    </w:p>
    <w:p w:rsidR="00D91E13" w:rsidRPr="00DB69B4" w:rsidRDefault="00D91E13" w:rsidP="00D91E13">
      <w:pPr>
        <w:spacing w:after="0" w:line="240" w:lineRule="auto"/>
        <w:rPr>
          <w:rFonts w:cstheme="minorHAnsi"/>
          <w:sz w:val="24"/>
          <w:szCs w:val="24"/>
        </w:rPr>
      </w:pPr>
      <w:r w:rsidRPr="00DB69B4">
        <w:rPr>
          <w:rFonts w:cstheme="minorHAnsi"/>
          <w:sz w:val="24"/>
          <w:szCs w:val="24"/>
        </w:rPr>
        <w:t>-</w:t>
      </w:r>
      <w:r>
        <w:rPr>
          <w:rFonts w:cstheme="minorHAnsi"/>
          <w:sz w:val="24"/>
          <w:szCs w:val="24"/>
        </w:rPr>
        <w:t>El plan de marketing cultural</w:t>
      </w:r>
      <w:r w:rsidRPr="00DB69B4">
        <w:rPr>
          <w:rFonts w:cstheme="minorHAnsi"/>
          <w:sz w:val="24"/>
          <w:szCs w:val="24"/>
        </w:rPr>
        <w:t>. Fases del plan. La ejecución del plan. El presupuesto.</w:t>
      </w:r>
    </w:p>
    <w:p w:rsidR="00D91E13" w:rsidRPr="00DB69B4" w:rsidRDefault="00D91E13" w:rsidP="00D91E13">
      <w:pPr>
        <w:spacing w:after="0" w:line="240" w:lineRule="auto"/>
        <w:rPr>
          <w:rFonts w:cstheme="minorHAnsi"/>
          <w:sz w:val="24"/>
          <w:szCs w:val="24"/>
        </w:rPr>
      </w:pPr>
      <w:r w:rsidRPr="00DB69B4">
        <w:rPr>
          <w:rFonts w:cstheme="minorHAnsi"/>
          <w:sz w:val="24"/>
          <w:szCs w:val="24"/>
        </w:rPr>
        <w:t>-</w:t>
      </w:r>
      <w:r>
        <w:rPr>
          <w:rFonts w:cstheme="minorHAnsi"/>
          <w:sz w:val="24"/>
          <w:szCs w:val="24"/>
        </w:rPr>
        <w:t>Los resultados</w:t>
      </w:r>
      <w:r w:rsidRPr="00DB69B4">
        <w:rPr>
          <w:rFonts w:cstheme="minorHAnsi"/>
          <w:sz w:val="24"/>
          <w:szCs w:val="24"/>
        </w:rPr>
        <w:t>. Si la cultura tiene que ser rentable y otras eternas preguntas.</w:t>
      </w:r>
    </w:p>
    <w:p w:rsidR="00D91E13" w:rsidRPr="00DB69B4" w:rsidRDefault="00D91E13" w:rsidP="00D91E13">
      <w:pPr>
        <w:spacing w:after="0" w:line="240" w:lineRule="auto"/>
        <w:rPr>
          <w:rFonts w:cstheme="minorHAnsi"/>
          <w:sz w:val="24"/>
          <w:szCs w:val="24"/>
        </w:rPr>
      </w:pPr>
    </w:p>
    <w:p w:rsidR="00D91E13" w:rsidRPr="00DB69B4" w:rsidRDefault="00D91E13" w:rsidP="00D91E13">
      <w:pPr>
        <w:spacing w:line="240" w:lineRule="auto"/>
        <w:jc w:val="both"/>
        <w:rPr>
          <w:rFonts w:cstheme="minorHAnsi"/>
          <w:b/>
          <w:bCs/>
          <w:color w:val="808080" w:themeColor="background1" w:themeShade="80"/>
          <w:sz w:val="24"/>
          <w:szCs w:val="24"/>
        </w:rPr>
      </w:pPr>
      <w:r w:rsidRPr="00DB69B4">
        <w:rPr>
          <w:rFonts w:cstheme="minorHAnsi"/>
          <w:b/>
          <w:bCs/>
          <w:color w:val="808080" w:themeColor="background1" w:themeShade="80"/>
          <w:sz w:val="24"/>
          <w:szCs w:val="24"/>
        </w:rPr>
        <w:t>11 mayo</w:t>
      </w:r>
    </w:p>
    <w:p w:rsidR="00D91E13" w:rsidRPr="00DB69B4" w:rsidRDefault="00D91E13" w:rsidP="00D91E13">
      <w:pPr>
        <w:spacing w:line="240" w:lineRule="auto"/>
        <w:jc w:val="both"/>
        <w:rPr>
          <w:rFonts w:cstheme="minorHAnsi"/>
          <w:b/>
          <w:bCs/>
          <w:sz w:val="30"/>
          <w:szCs w:val="30"/>
        </w:rPr>
      </w:pPr>
      <w:r w:rsidRPr="00DB69B4">
        <w:rPr>
          <w:rFonts w:cstheme="minorHAnsi"/>
          <w:b/>
          <w:bCs/>
          <w:sz w:val="30"/>
          <w:szCs w:val="30"/>
        </w:rPr>
        <w:t>Direcc</w:t>
      </w:r>
      <w:r>
        <w:rPr>
          <w:rFonts w:cstheme="minorHAnsi"/>
          <w:b/>
          <w:bCs/>
          <w:sz w:val="30"/>
          <w:szCs w:val="30"/>
        </w:rPr>
        <w:t>ión de Museos y Centros de Arte</w:t>
      </w:r>
    </w:p>
    <w:p w:rsidR="00D91E13" w:rsidRPr="00DB69B4" w:rsidRDefault="00D91E13" w:rsidP="00D91E13">
      <w:pPr>
        <w:spacing w:line="240" w:lineRule="auto"/>
        <w:jc w:val="both"/>
        <w:rPr>
          <w:rFonts w:cstheme="minorHAnsi"/>
          <w:bCs/>
          <w:sz w:val="24"/>
          <w:szCs w:val="24"/>
        </w:rPr>
      </w:pPr>
      <w:r w:rsidRPr="00DB69B4">
        <w:rPr>
          <w:rFonts w:cstheme="minorHAnsi"/>
          <w:b/>
          <w:bCs/>
          <w:sz w:val="24"/>
          <w:szCs w:val="24"/>
        </w:rPr>
        <w:t>Juan García Sandoval</w:t>
      </w:r>
      <w:r w:rsidRPr="00DB69B4">
        <w:rPr>
          <w:rFonts w:cstheme="minorHAnsi"/>
          <w:bCs/>
          <w:sz w:val="24"/>
          <w:szCs w:val="24"/>
        </w:rPr>
        <w:t xml:space="preserve"> [Director del Museo de Bellas Artes de Murcia, MUBAM]</w:t>
      </w:r>
    </w:p>
    <w:p w:rsidR="00D91E13" w:rsidRPr="00DB69B4" w:rsidRDefault="00D91E13" w:rsidP="00D91E13">
      <w:pPr>
        <w:spacing w:line="240" w:lineRule="auto"/>
        <w:jc w:val="both"/>
        <w:rPr>
          <w:rFonts w:cstheme="minorHAnsi"/>
          <w:sz w:val="24"/>
          <w:szCs w:val="24"/>
        </w:rPr>
      </w:pPr>
      <w:r w:rsidRPr="00DB69B4">
        <w:rPr>
          <w:rFonts w:cstheme="minorHAnsi"/>
          <w:sz w:val="24"/>
          <w:szCs w:val="24"/>
        </w:rPr>
        <w:t xml:space="preserve">A lo largo de este tercer módulo se abordará la organización, gestión y coordinación de la exposición permanente y temporal dentro de un Museo, y la museografía como elemento mediador entre lo expuesto y el público. Se trataran los aspectos de la planificación de la función expositiva, los programas arquitectónicos y expositivos como herramienta museológica, así como la gestión y los mecanismos de la institución museística como casos de estudio el Museo de Bellas Artes de Murcia, su anexo del </w:t>
      </w:r>
      <w:r w:rsidRPr="00DB69B4">
        <w:rPr>
          <w:rFonts w:cstheme="minorHAnsi"/>
          <w:sz w:val="24"/>
          <w:szCs w:val="24"/>
        </w:rPr>
        <w:lastRenderedPageBreak/>
        <w:t>Conjunto Monumental de San Juan de Dios Murcia y el programa museológico del futuro Museo Convento de San Francisco de Mula.</w:t>
      </w:r>
    </w:p>
    <w:p w:rsidR="00D91E13" w:rsidRPr="00BF104E" w:rsidRDefault="003704FE" w:rsidP="00D91E13">
      <w:pPr>
        <w:spacing w:line="240" w:lineRule="auto"/>
        <w:jc w:val="both"/>
        <w:rPr>
          <w:rFonts w:cstheme="minorHAnsi"/>
          <w:b/>
          <w:bCs/>
          <w:color w:val="808080" w:themeColor="background1" w:themeShade="80"/>
          <w:sz w:val="24"/>
          <w:szCs w:val="24"/>
        </w:rPr>
      </w:pPr>
      <w:r>
        <w:rPr>
          <w:rFonts w:cstheme="minorHAnsi"/>
          <w:b/>
          <w:bCs/>
          <w:color w:val="808080" w:themeColor="background1" w:themeShade="80"/>
          <w:sz w:val="24"/>
          <w:szCs w:val="24"/>
        </w:rPr>
        <w:t>12</w:t>
      </w:r>
      <w:r w:rsidR="00D91E13" w:rsidRPr="00BF104E">
        <w:rPr>
          <w:rFonts w:cstheme="minorHAnsi"/>
          <w:b/>
          <w:bCs/>
          <w:color w:val="808080" w:themeColor="background1" w:themeShade="80"/>
          <w:sz w:val="24"/>
          <w:szCs w:val="24"/>
        </w:rPr>
        <w:t xml:space="preserve"> mayo</w:t>
      </w:r>
    </w:p>
    <w:p w:rsidR="00D91E13" w:rsidRPr="00BF104E" w:rsidRDefault="00D91E13" w:rsidP="00D91E13">
      <w:pPr>
        <w:spacing w:line="240" w:lineRule="auto"/>
        <w:jc w:val="both"/>
        <w:rPr>
          <w:rFonts w:cstheme="minorHAnsi"/>
          <w:b/>
          <w:bCs/>
          <w:sz w:val="30"/>
          <w:szCs w:val="30"/>
        </w:rPr>
      </w:pPr>
      <w:r w:rsidRPr="00BF104E">
        <w:rPr>
          <w:rFonts w:cstheme="minorHAnsi"/>
          <w:b/>
          <w:bCs/>
          <w:sz w:val="30"/>
          <w:szCs w:val="30"/>
        </w:rPr>
        <w:t>Educación desde el arte</w:t>
      </w:r>
    </w:p>
    <w:p w:rsidR="00D91E13" w:rsidRDefault="00D91E13" w:rsidP="00D91E13">
      <w:pPr>
        <w:spacing w:after="0" w:line="240" w:lineRule="auto"/>
        <w:rPr>
          <w:rFonts w:cstheme="minorHAnsi"/>
          <w:sz w:val="24"/>
          <w:szCs w:val="24"/>
        </w:rPr>
      </w:pPr>
      <w:r w:rsidRPr="007B0B93">
        <w:rPr>
          <w:rFonts w:eastAsia="Times New Roman" w:cstheme="minorHAnsi"/>
          <w:b/>
          <w:color w:val="000000"/>
          <w:sz w:val="24"/>
          <w:szCs w:val="24"/>
          <w:lang w:eastAsia="es-ES"/>
        </w:rPr>
        <w:t xml:space="preserve">David </w:t>
      </w:r>
      <w:proofErr w:type="spellStart"/>
      <w:r w:rsidRPr="007B0B93">
        <w:rPr>
          <w:rFonts w:eastAsia="Times New Roman" w:cstheme="minorHAnsi"/>
          <w:b/>
          <w:color w:val="000000"/>
          <w:sz w:val="24"/>
          <w:szCs w:val="24"/>
          <w:lang w:eastAsia="es-ES"/>
        </w:rPr>
        <w:t>Alpañez</w:t>
      </w:r>
      <w:proofErr w:type="spellEnd"/>
      <w:r w:rsidRPr="007B0B93">
        <w:rPr>
          <w:rFonts w:eastAsia="Times New Roman" w:cstheme="minorHAnsi"/>
          <w:b/>
          <w:color w:val="000000"/>
          <w:sz w:val="24"/>
          <w:szCs w:val="24"/>
          <w:lang w:eastAsia="es-ES"/>
        </w:rPr>
        <w:t xml:space="preserve"> Serrano / Reme Navarro</w:t>
      </w:r>
      <w:r w:rsidRPr="007B0B93">
        <w:rPr>
          <w:rFonts w:eastAsia="Times New Roman" w:cstheme="minorHAnsi"/>
          <w:color w:val="000000"/>
          <w:sz w:val="24"/>
          <w:szCs w:val="24"/>
          <w:lang w:eastAsia="es-ES"/>
        </w:rPr>
        <w:t xml:space="preserve"> </w:t>
      </w:r>
      <w:proofErr w:type="spellStart"/>
      <w:r w:rsidRPr="007B0B93">
        <w:rPr>
          <w:rFonts w:eastAsia="Times New Roman" w:cstheme="minorHAnsi"/>
          <w:b/>
          <w:color w:val="000000"/>
          <w:sz w:val="24"/>
          <w:szCs w:val="24"/>
          <w:lang w:eastAsia="es-ES"/>
        </w:rPr>
        <w:t>Mondéjar</w:t>
      </w:r>
      <w:proofErr w:type="spellEnd"/>
      <w:r w:rsidRPr="007B0B93">
        <w:rPr>
          <w:rFonts w:eastAsia="Times New Roman" w:cstheme="minorHAnsi"/>
          <w:color w:val="000000"/>
          <w:sz w:val="24"/>
          <w:szCs w:val="24"/>
          <w:lang w:eastAsia="es-ES"/>
        </w:rPr>
        <w:t xml:space="preserve"> [</w:t>
      </w:r>
      <w:r w:rsidRPr="007B0B93">
        <w:rPr>
          <w:rFonts w:cstheme="minorHAnsi"/>
          <w:sz w:val="24"/>
          <w:szCs w:val="24"/>
        </w:rPr>
        <w:t>Personal técnico del Área Didáctica MUA]</w:t>
      </w:r>
    </w:p>
    <w:p w:rsidR="00D91E13" w:rsidRPr="007B0B93" w:rsidRDefault="00D91E13" w:rsidP="00D91E13">
      <w:pPr>
        <w:spacing w:after="0" w:line="240" w:lineRule="auto"/>
        <w:rPr>
          <w:rFonts w:cstheme="minorHAnsi"/>
          <w:sz w:val="24"/>
          <w:szCs w:val="24"/>
        </w:rPr>
      </w:pPr>
    </w:p>
    <w:p w:rsidR="00D91E13" w:rsidRDefault="00D91E13" w:rsidP="00D91E13">
      <w:pPr>
        <w:spacing w:line="240" w:lineRule="auto"/>
        <w:jc w:val="both"/>
      </w:pPr>
      <w:r>
        <w:t>Las acciones educativas emprendidas por el equipo del Área Didáctica del MUA durante los últimos diez años aúnan aprendizaje de conocimientos y experimentación en torno al arte contemporáneo.</w:t>
      </w:r>
    </w:p>
    <w:p w:rsidR="00D91E13" w:rsidRDefault="00D91E13" w:rsidP="00D91E13">
      <w:pPr>
        <w:spacing w:line="240" w:lineRule="auto"/>
        <w:jc w:val="both"/>
      </w:pPr>
      <w:r>
        <w:t xml:space="preserve">Un recorrido por los talleres didácticos diseñados para público escolar –de educación infantil a bachillerato–, nos permitirá conocer la metodología de trabajo desarrollada y las bases de su política educativa. </w:t>
      </w:r>
    </w:p>
    <w:p w:rsidR="00D91E13" w:rsidRDefault="00D91E13" w:rsidP="00D91E13">
      <w:pPr>
        <w:spacing w:line="240" w:lineRule="auto"/>
        <w:jc w:val="both"/>
      </w:pPr>
      <w:r>
        <w:t>Esta sesión culminará con la visita dinamizada a la exposición “</w:t>
      </w:r>
      <w:proofErr w:type="spellStart"/>
      <w:r>
        <w:t>Mulier</w:t>
      </w:r>
      <w:proofErr w:type="spellEnd"/>
      <w:r>
        <w:t xml:space="preserve">, </w:t>
      </w:r>
      <w:proofErr w:type="spellStart"/>
      <w:r>
        <w:t>Mulieris</w:t>
      </w:r>
      <w:proofErr w:type="spellEnd"/>
      <w:r>
        <w:t xml:space="preserve"> </w:t>
      </w:r>
      <w:smartTag w:uri="urn:schemas-microsoft-com:office:smarttags" w:element="metricconverter">
        <w:smartTagPr>
          <w:attr w:name="ProductID" w:val="2011”"/>
        </w:smartTagPr>
        <w:r>
          <w:t>2011”</w:t>
        </w:r>
      </w:smartTag>
      <w:r>
        <w:t xml:space="preserve">, dentro de </w:t>
      </w:r>
      <w:smartTag w:uri="urn:schemas-microsoft-com:office:smarttags" w:element="PersonName">
        <w:smartTagPr>
          <w:attr w:name="ProductID" w:val="la V Convocatoria"/>
        </w:smartTagPr>
        <w:r>
          <w:t>la V Convocatoria</w:t>
        </w:r>
      </w:smartTag>
      <w:r>
        <w:t xml:space="preserve"> de Artes Plásticas organizada por el MUA para celebrar el Día Internacional de </w:t>
      </w:r>
      <w:smartTag w:uri="urn:schemas-microsoft-com:office:smarttags" w:element="PersonName">
        <w:smartTagPr>
          <w:attr w:name="ProductID" w:val="la Mujer. Se"/>
        </w:smartTagPr>
        <w:smartTag w:uri="urn:schemas-microsoft-com:office:smarttags" w:element="PersonName">
          <w:smartTagPr>
            <w:attr w:name="ProductID" w:val="la Mujer."/>
          </w:smartTagPr>
          <w:r>
            <w:t>la Mujer.</w:t>
          </w:r>
        </w:smartTag>
        <w:r>
          <w:t xml:space="preserve"> Se</w:t>
        </w:r>
      </w:smartTag>
      <w:r>
        <w:t xml:space="preserve"> trabajarán cuestiones relativas a la museografía didáctica y la diversidad de prácticas educativas asociadas a la contemplación y la interpretación de obras artísticas.</w:t>
      </w:r>
    </w:p>
    <w:p w:rsidR="003704FE" w:rsidRPr="00DB69B4" w:rsidRDefault="003704FE" w:rsidP="003704FE">
      <w:pPr>
        <w:spacing w:line="240" w:lineRule="auto"/>
        <w:jc w:val="both"/>
        <w:rPr>
          <w:rFonts w:cstheme="minorHAnsi"/>
          <w:b/>
          <w:bCs/>
          <w:color w:val="808080" w:themeColor="background1" w:themeShade="80"/>
          <w:sz w:val="24"/>
          <w:szCs w:val="24"/>
        </w:rPr>
      </w:pPr>
      <w:r>
        <w:rPr>
          <w:rFonts w:cstheme="minorHAnsi"/>
          <w:b/>
          <w:bCs/>
          <w:color w:val="808080" w:themeColor="background1" w:themeShade="80"/>
          <w:sz w:val="24"/>
          <w:szCs w:val="24"/>
        </w:rPr>
        <w:t>13</w:t>
      </w:r>
      <w:r w:rsidRPr="00DB69B4">
        <w:rPr>
          <w:rFonts w:cstheme="minorHAnsi"/>
          <w:b/>
          <w:bCs/>
          <w:color w:val="808080" w:themeColor="background1" w:themeShade="80"/>
          <w:sz w:val="24"/>
          <w:szCs w:val="24"/>
        </w:rPr>
        <w:t xml:space="preserve"> mayo</w:t>
      </w:r>
    </w:p>
    <w:p w:rsidR="003704FE" w:rsidRDefault="003704FE" w:rsidP="003704FE">
      <w:pPr>
        <w:spacing w:line="240" w:lineRule="auto"/>
        <w:jc w:val="both"/>
        <w:rPr>
          <w:rFonts w:cstheme="minorHAnsi"/>
          <w:b/>
          <w:bCs/>
          <w:sz w:val="30"/>
          <w:szCs w:val="30"/>
        </w:rPr>
      </w:pPr>
      <w:r w:rsidRPr="00DB69B4">
        <w:rPr>
          <w:rFonts w:cstheme="minorHAnsi"/>
          <w:b/>
          <w:bCs/>
          <w:sz w:val="30"/>
          <w:szCs w:val="30"/>
        </w:rPr>
        <w:t>Producc</w:t>
      </w:r>
      <w:r>
        <w:rPr>
          <w:rFonts w:cstheme="minorHAnsi"/>
          <w:b/>
          <w:bCs/>
          <w:sz w:val="30"/>
          <w:szCs w:val="30"/>
        </w:rPr>
        <w:t>ión de exposiciones</w:t>
      </w:r>
    </w:p>
    <w:p w:rsidR="003704FE" w:rsidRPr="00DB69B4" w:rsidRDefault="003704FE" w:rsidP="003704FE">
      <w:pPr>
        <w:spacing w:line="240" w:lineRule="auto"/>
        <w:jc w:val="both"/>
        <w:rPr>
          <w:rFonts w:cstheme="minorHAnsi"/>
          <w:bCs/>
          <w:sz w:val="24"/>
          <w:szCs w:val="24"/>
        </w:rPr>
      </w:pPr>
      <w:r w:rsidRPr="00DB69B4">
        <w:rPr>
          <w:rFonts w:cstheme="minorHAnsi"/>
          <w:b/>
          <w:bCs/>
          <w:sz w:val="24"/>
          <w:szCs w:val="24"/>
        </w:rPr>
        <w:t>Fernando López</w:t>
      </w:r>
      <w:r w:rsidRPr="00DB69B4">
        <w:rPr>
          <w:rFonts w:cstheme="minorHAnsi"/>
          <w:bCs/>
          <w:sz w:val="24"/>
          <w:szCs w:val="24"/>
        </w:rPr>
        <w:t xml:space="preserve"> [Coordinador de Producción de PAC Murcia y Manifesta 8]</w:t>
      </w:r>
    </w:p>
    <w:p w:rsidR="003704FE" w:rsidRPr="00DB69B4" w:rsidRDefault="003704FE" w:rsidP="003704FE">
      <w:pPr>
        <w:spacing w:line="240" w:lineRule="auto"/>
        <w:jc w:val="both"/>
        <w:rPr>
          <w:rFonts w:cstheme="minorHAnsi"/>
          <w:sz w:val="24"/>
          <w:szCs w:val="24"/>
        </w:rPr>
      </w:pPr>
      <w:r w:rsidRPr="00DB69B4">
        <w:rPr>
          <w:rFonts w:cstheme="minorHAnsi"/>
          <w:sz w:val="24"/>
          <w:szCs w:val="24"/>
        </w:rPr>
        <w:t>Las exposiciones ocupan un lugar privilegiado dentro del mecanismo de producción y legitimación de las prácticas artísticas. Como en cualquier campo profesional, su gestión está sometida a protocolos altamente normalizados: calendarios, presupuestos, contratos, fo</w:t>
      </w:r>
      <w:r>
        <w:rPr>
          <w:rFonts w:cstheme="minorHAnsi"/>
          <w:sz w:val="24"/>
          <w:szCs w:val="24"/>
        </w:rPr>
        <w:t>rmularios de préstamo, seguros, etc.</w:t>
      </w:r>
      <w:r w:rsidRPr="00DB69B4">
        <w:rPr>
          <w:rFonts w:cstheme="minorHAnsi"/>
          <w:sz w:val="24"/>
          <w:szCs w:val="24"/>
        </w:rPr>
        <w:t xml:space="preserve"> Además, las bienales  internacionales, en tanto formato expositivo, presentan una serie de rasgos esenciales para entender la escena artística actual. La organización de un evento como Manifesta, cuya identidad se ha forjado en torno a la idea de experimentación con nuevos modelos de comisariado y el trabajo con contextos específicos y cambiantes, supone unas exigencias logísticas determinadas a la hora de llevar a cabo su realización material, desde la producción de los proyectos artísticos hasta la adecuación de espacios no convencionales a uso expositivo y el montaje de las obras. </w:t>
      </w:r>
    </w:p>
    <w:p w:rsidR="003704FE" w:rsidRDefault="003704FE" w:rsidP="00D91E13">
      <w:pPr>
        <w:spacing w:line="240" w:lineRule="auto"/>
        <w:jc w:val="both"/>
      </w:pPr>
    </w:p>
    <w:p w:rsidR="004D1CF4" w:rsidRDefault="004D1CF4"/>
    <w:sectPr w:rsidR="004D1C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13"/>
    <w:rsid w:val="003704FE"/>
    <w:rsid w:val="004D1CF4"/>
    <w:rsid w:val="005C26CF"/>
    <w:rsid w:val="00D61AF6"/>
    <w:rsid w:val="00D91E13"/>
    <w:rsid w:val="00F06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E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E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dc:creator>
  <cp:lastModifiedBy>Mari</cp:lastModifiedBy>
  <cp:revision>5</cp:revision>
  <dcterms:created xsi:type="dcterms:W3CDTF">2011-04-01T16:01:00Z</dcterms:created>
  <dcterms:modified xsi:type="dcterms:W3CDTF">2011-04-11T20:32:00Z</dcterms:modified>
</cp:coreProperties>
</file>