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第一步：最简单的函数，准备附加额外功能</w:t>
      </w:r>
    </w:p>
    <w:tbl>
      <w:tblPr>
        <w:tblW w:w="8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72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7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'''示例1: 最简单的函数,表示调用了两次'''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第二步：使用装饰函数在函数执行前和执行后分别附加额外功能</w:t>
      </w:r>
    </w:p>
    <w:tbl>
      <w:tblPr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16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7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'''示例2: 替换函数(装饰)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装饰函数的参数是被装饰的函数对象，返回原函数对象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装饰的实质语句: myfunc = deco(myfunc)'''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after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myfunc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deco(myfunc)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第三步：使用语法糖@来装饰函数</w:t>
      </w:r>
    </w:p>
    <w:tbl>
      <w:tblPr>
        <w:tblW w:w="8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'''示例3: 使用语法糖@来装饰函数，相当于“myfunc = deco(myfunc)”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但发现新函数只在第一次被调用，且原函数多调用了一次'''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"before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  after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第四步：使用内嵌包装函数来确保每次新函数都被调用</w:t>
      </w:r>
    </w:p>
    <w:tbl>
      <w:tblPr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7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'''示例4: 使用内嵌包装函数来确保每次新函数都被调用，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内嵌包装函数的形参和返回值与原函数相同，装饰函数返回内嵌包装函数对象'''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_deco():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after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 不需要返回func，实际上应返回原函数的返回值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'ok'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第五步：对带参数的函数进行装饰</w:t>
      </w:r>
    </w:p>
    <w:tbl>
      <w:tblPr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7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'''示例5: 对带参数的函数进行装饰，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内嵌包装函数的形参和返回值与原函数相同，装饰函数返回内嵌包装函数对象'''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_deco(a, b):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ret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func(a, b)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after myfunc() called. result: %s"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myfunc(a, b):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myfunc(%s,%s) called."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(a, b))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第六步：对参数数量不确定的函数进行装饰</w:t>
      </w:r>
    </w:p>
    <w:tbl>
      <w:tblPr>
        <w:tblW w:w="8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7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'''示例6: 对参数数量不确定的函数进行装饰，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参数用(*args, **kwargs)，自动适应变参和命名参数'''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_deco(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args,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%s called."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func.__name__)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ret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args,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after %s called. result: %s"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(func.__name__, ret))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myfunc(a, b):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myfunc(%s,%s) called."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(a, b))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myfunc2(a, b, 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myfunc2(%s,%s,%s) called."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(a, b, c))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myfunc2(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myfunc2(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第七步：让装饰器带参数</w:t>
      </w:r>
    </w:p>
    <w:tbl>
      <w:tblPr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7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'''示例7: 在示例4的基础上，让装饰器带参数，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和上一示例相比在外层多了一层包装。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装饰函数名实际上应更有意义些'''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deco(arg):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__deco():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%s called [%s]."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(func.__name__, arg))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after %s called [%s]."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(func.__name__, arg))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"mymodule"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"module2"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myfunc2():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myfunc2()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myfunc2()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第八步：让装饰器带 类 参数</w:t>
      </w:r>
    </w:p>
    <w:tbl>
      <w:tblPr>
        <w:tblW w:w="83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</w:tc>
        <w:tc>
          <w:tcPr>
            <w:tcW w:w="77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'''示例8: 装饰器带类参数'''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locker: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"locker.__init__() should be not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acquire():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"locker.acquire() called.（这是静态方法）"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release():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  locker.release() called.（不需要对象实例）"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deco(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'''cls 必须实现acquire和release静态方法'''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__deco():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"before %s called [%s]."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(func.__name__,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.acquire()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finally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.release()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@deco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(locker)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第九步：装饰器带类参数，并分拆公共类到其他py文件中，同时演示了对一个函数应用多个装饰器</w:t>
      </w:r>
    </w:p>
    <w:tbl>
      <w:tblPr>
        <w:tblW w:w="83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6CE26C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18"/>
                <w:szCs w:val="18"/>
                <w:bdr w:val="none" w:color="auto" w:sz="0" w:space="0"/>
                <w:shd w:val="clear" w:fill="6CE26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</w:tc>
        <w:tc>
          <w:tcPr>
            <w:tcW w:w="7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'''mylocker.py: 公共类 for 示例9.py'''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mylocker: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"mylocker.__init__()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acquire():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"mylocker.acquire()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unlock():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  mylocker.unlock()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lockerex(mylocker):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acquire():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"lockerex.acquire()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@staticmethod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unlock():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  lockerex.unlock()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lockhelper(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'''cls 必须实现acquire和release静态方法'''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_deco(func):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__deco(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args,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"before %s called."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func.__name__)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.acquire()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args,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finally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.unlock()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__deco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_deco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6CE26C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18"/>
                <w:szCs w:val="18"/>
                <w:bdr w:val="none" w:color="auto" w:sz="0" w:space="0"/>
                <w:shd w:val="clear" w:fill="6CE26C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6CE26C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18"/>
                <w:szCs w:val="18"/>
                <w:bdr w:val="none" w:color="auto" w:sz="0" w:space="0"/>
                <w:shd w:val="clear" w:fill="6CE26C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7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-*- coding:gbk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'''示例9: 装饰器带类参数，并分拆公共类到其他py文件中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E0E0E0"/>
                <w:vertAlign w:val="baseline"/>
                <w:lang w:val="en-US" w:eastAsia="zh-CN" w:bidi="ar"/>
              </w:rPr>
              <w:t>同时演示了对一个函数应用多个装饰器'''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mylocker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example: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@lockhelper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(mylocker)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myfunc(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myfunc()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@lockhelper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(mylocker)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@lockhelper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(lockerex)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myfunc2(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a, b):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 myfunc2() called."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__name__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=="__main__"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a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example()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a.myfunc()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(a.myfunc())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(a.myfunc2(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print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(a.myfunc2(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下面是参考资料，当初有不少地方没看明白，真正练习后才明白些：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1. Python装饰器学习 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"http://blog.csdn.net/thy38/article/details/4471421"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instrText xml:space="preserve"> HYPERLINK "http://blog.csdn.net/thy38/article/details/4471421" </w:instrText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4"/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t>http://blog.csdn.net/thy38/article/details/4471421</w:t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2. Python装饰器与面向切面编程 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"http://www.cnblogs.com/huxi/archive/2011/03/01/1967600.html"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instrText xml:space="preserve"> HYPERLINK "http://www.cnblogs.com/huxi/archive/2011/03/01/1967600.html" </w:instrText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4"/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t>http://www.cnblogs.com/huxi/archive/2011/03/01/1967600.html</w:t>
      </w:r>
      <w:r>
        <w:rPr>
          <w:rFonts w:hint="default" w:ascii="新宋体" w:hAnsi="新宋体" w:eastAsia="新宋体" w:cs="新宋体"/>
          <w:b w:val="0"/>
          <w:i w:val="0"/>
          <w:caps w:val="0"/>
          <w:color w:val="6466B3"/>
          <w:spacing w:val="0"/>
          <w:sz w:val="27"/>
          <w:szCs w:val="27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3. Python装饰器的理解 http://apps.hi.baidu.com/share/detail/17572338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Verdana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新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CEB0B"/>
    <w:rsid w:val="BF4BBD48"/>
    <w:rsid w:val="C7FCEB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2016-02-20T23:37:00Z</dcterms:created>
  <dc:creator>zheng</dc:creator>
  <cp:lastModifiedBy>zheng</cp:lastModifiedBy>
  <dcterms:modified xsi:type="dcterms:W3CDTF">2016-02-20T23:42:04Z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2052-10.1.0.5460</vt:lpwstr>
  </property>
</Properties>
</file>