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32230" cy="360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 xml:space="preserve">Version </w:t>
      </w:r>
      <w:r>
        <w:rPr>
          <w:rFonts w:cs="Arial"/>
          <w:b w:val="false"/>
          <w:color w:val="000000" w:themeColor="text1"/>
          <w:sz w:val="28"/>
          <w:lang w:val="en-GB"/>
        </w:rPr>
        <w:t>?</w:t>
      </w:r>
    </w:p>
    <w:p>
      <w:pPr>
        <w:pStyle w:val="CRMdat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GB" w:eastAsia="el-GR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GB" w:eastAsia="el-GR" w:bidi="ar-SA"/>
        </w:rPr>
        <w:t>Date ?</w:t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842673"/>
      <w:bookmarkStart w:id="1" w:name="_Toc382492756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358_3740082136"/>
      <w:bookmarkEnd w:id="2"/>
      <w:r>
        <w:rPr/>
        <w:t>Index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"1-3" \h</w:instrText>
          </w:r>
          <w:r>
            <w:rPr>
              <w:rStyle w:val="IndexLink"/>
            </w:rPr>
            <w:fldChar w:fldCharType="separate"/>
          </w:r>
          <w:hyperlink w:anchor="__RefHeading___Toc358_3740082136">
            <w:r>
              <w:rPr>
                <w:rStyle w:val="IndexLink"/>
              </w:rPr>
              <w:t>Index</w:t>
              <w:tab/>
              <w:t>2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0_3740082136">
            <w:r>
              <w:rPr>
                <w:rStyle w:val="IndexLink"/>
              </w:rPr>
              <w:t>Introduction</w:t>
              <w:tab/>
              <w:t>3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2_3740082136">
            <w:r>
              <w:rPr>
                <w:rStyle w:val="IndexLink"/>
              </w:rPr>
              <w:t>Scope</w:t>
              <w:tab/>
              <w:t>3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4_3740082136">
            <w:r>
              <w:rPr>
                <w:rStyle w:val="IndexLink"/>
              </w:rPr>
              <w:t>Status</w:t>
              <w:tab/>
              <w:t>3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6_3740082136">
            <w:r>
              <w:rPr>
                <w:rStyle w:val="IndexLink"/>
              </w:rPr>
              <w:t>CRMntp property hierarchy, aligned with portions from the CIDOC CRM property hierarchies</w:t>
              <w:tab/>
              <w:t>4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8_3740082136">
            <w:r>
              <w:rPr>
                <w:rStyle w:val="IndexLink"/>
              </w:rPr>
              <w:t>CRMntp Property Declarations</w:t>
              <w:tab/>
              <w:t>6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70_3740082136">
            <w:r>
              <w:rPr>
                <w:rStyle w:val="IndexLink"/>
              </w:rPr>
              <w:t>Amendments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before="0" w:after="120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3" w:name="__RefHeading___Toc360_3740082136"/>
      <w:bookmarkStart w:id="4" w:name="_Toc419465428"/>
      <w:bookmarkEnd w:id="3"/>
      <w:r>
        <w:rPr/>
        <w:t>Introduction</w:t>
      </w:r>
      <w:bookmarkEnd w:id="4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This document describes work which uses and extends the CIDOC Conceptual Reference Model (CRM, ISO21127). The CIDOC-CRM definition document should be read before this document. References to the CRM in this document are taken from CRM version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7.1.1</w:t>
      </w:r>
      <w:r>
        <w:rPr/>
        <w:t xml:space="preserve"> maintained by CIDOC.</w:t>
      </w:r>
    </w:p>
    <w:p>
      <w:pPr>
        <w:pStyle w:val="Heading1"/>
        <w:rPr>
          <w:rFonts w:cs="Arial"/>
          <w:lang w:val="en-GB"/>
        </w:rPr>
      </w:pPr>
      <w:bookmarkStart w:id="5" w:name="__RefHeading___Toc362_3740082136"/>
      <w:bookmarkEnd w:id="5"/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This extension has been developed after analysis of registration and survey forms primarily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for</w:t>
      </w:r>
      <w:r>
        <w:rPr>
          <w:lang w:eastAsia="it-IT"/>
        </w:rPr>
        <w:t xml:space="preserve"> use in conservation documentation. While the initiative for its development started within a conservation documentation context, the principles considered apply to other contexts. The extension provides properties which allow making statements in the following cases: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a)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instances is not possible but recording the types of those instances is.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This could be the case</w:t>
      </w:r>
      <w:r>
        <w:rPr>
          <w:lang w:eastAsia="it-IT"/>
        </w:rPr>
        <w:t xml:space="preserve"> when there are no resources or interest to record numerous instances of the same type. For example, it is often not possible to record every page marker of a historic book with many page markers, but it may be possible to record their types.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b)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>hen recording non-existence. This could be the case when a comprehensive observation of a situation confirms that there is no instance of a specific type. For example, when recording historic books, one may be able to confirm that there are no page markers on it after examining all leaves.</w:t>
      </w:r>
    </w:p>
    <w:p>
      <w:pPr>
        <w:pStyle w:val="TextBody"/>
        <w:rPr>
          <w:lang w:eastAsia="it-IT"/>
        </w:rPr>
      </w:pPr>
      <w:r>
        <w:rPr>
          <w:lang w:eastAsia="it-IT"/>
        </w:rPr>
        <w:t>The use of these properties allows identification of contradictory information within a knowledge base on the existence and non-existence of instances.</w:t>
      </w:r>
    </w:p>
    <w:p>
      <w:pPr>
        <w:pStyle w:val="Heading1"/>
        <w:rPr>
          <w:rFonts w:cs="Arial"/>
          <w:lang w:val="en-GB"/>
        </w:rPr>
      </w:pPr>
      <w:bookmarkStart w:id="6" w:name="__RefHeading___Toc364_3740082136"/>
      <w:bookmarkEnd w:id="6"/>
      <w:r>
        <w:rPr/>
        <w:t>Status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4"/>
          <w:lang w:val="en-GB" w:eastAsia="it-IT" w:bidi="ar-SA"/>
        </w:rPr>
      </w:pP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The CIDOC-CRM SIG has approved the development of the extension. This is the current version of the development as proposed by the maintainers to be considered by the SIG.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bookmarkStart w:id="7" w:name="__RefHeading___Toc366_3740082136"/>
      <w:bookmarkEnd w:id="7"/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2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bookmarkStart w:id="8" w:name="__RefHeading___Toc368_3740082136"/>
      <w:bookmarkEnd w:id="8"/>
      <w:r>
        <w:rPr>
          <w:lang w:val="en-GB" w:eastAsia="el-GR" w:bidi="ar-SA"/>
        </w:rPr>
        <w:t>CRMntp</w:t>
      </w:r>
      <w:bookmarkStart w:id="9" w:name="_Toc419465543"/>
      <w:r>
        <w:rPr/>
        <w:t xml:space="preserve"> Property Declarations</w:t>
      </w:r>
      <w:bookmarkEnd w:id="9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0" w:name="__RefHeading___Toc370_3740082136"/>
      <w:bookmarkEnd w:id="10"/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7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LibreOffice/6.4.6.2$Linux_X86_64 LibreOffice_project/40$Build-2</Application>
  <Pages>7</Pages>
  <Words>453</Words>
  <Characters>2451</Characters>
  <CharactersWithSpaces>2871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2021-04-15T18:32:38Z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