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1252855" cy="1222375"/>
            <wp:effectExtent l="0" t="0" r="4445" b="15875"/>
            <wp:wrapSquare wrapText="bothSides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285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>
      <w:r>
        <w:rPr>
          <w:sz w:val="14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1257300</wp:posOffset>
            </wp:positionH>
            <wp:positionV relativeFrom="margin">
              <wp:posOffset>1397000</wp:posOffset>
            </wp:positionV>
            <wp:extent cx="3081655" cy="1435100"/>
            <wp:effectExtent l="0" t="0" r="4445" b="12700"/>
            <wp:wrapSquare wrapText="bothSides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tbl>
      <w:tblPr>
        <w:tblStyle w:val="14"/>
        <w:tblpPr w:leftFromText="180" w:rightFromText="180" w:vertAnchor="page" w:horzAnchor="page" w:tblpX="1909" w:tblpY="11041"/>
        <w:tblW w:w="761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52"/>
        <w:gridCol w:w="425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52" w:type="dxa"/>
          </w:tcPr>
          <w:p>
            <w:pPr>
              <w:tabs>
                <w:tab w:val="left" w:pos="2410"/>
              </w:tabs>
              <w:jc w:val="right"/>
              <w:rPr>
                <w:rFonts w:ascii="华文楷体" w:hAnsi="华文楷体" w:eastAsia="华文楷体"/>
                <w:b/>
                <w:sz w:val="44"/>
              </w:rPr>
            </w:pPr>
            <w:r>
              <w:rPr>
                <w:rFonts w:hint="eastAsia" w:ascii="华文楷体" w:hAnsi="华文楷体" w:eastAsia="华文楷体"/>
                <w:b/>
                <w:sz w:val="44"/>
              </w:rPr>
              <w:t>姓名：</w:t>
            </w:r>
          </w:p>
        </w:tc>
        <w:tc>
          <w:tcPr>
            <w:tcW w:w="4258" w:type="dxa"/>
          </w:tcPr>
          <w:p>
            <w:pPr>
              <w:tabs>
                <w:tab w:val="left" w:pos="1641"/>
              </w:tabs>
              <w:jc w:val="left"/>
              <w:rPr>
                <w:sz w:val="44"/>
                <w:u w:val="single"/>
              </w:rPr>
            </w:pPr>
            <w:r>
              <w:rPr>
                <w:rFonts w:hint="eastAsia"/>
                <w:sz w:val="44"/>
                <w:u w:val="single"/>
              </w:rPr>
              <w:t xml:space="preserve">   </w:t>
            </w:r>
            <w:r>
              <w:rPr>
                <w:sz w:val="44"/>
                <w:u w:val="single"/>
              </w:rPr>
              <w:t>丁力</w:t>
            </w:r>
            <w:r>
              <w:rPr>
                <w:rFonts w:hint="eastAsia"/>
                <w:sz w:val="44"/>
                <w:u w:val="single"/>
              </w:rPr>
              <w:t xml:space="preserve">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2" w:hRule="atLeast"/>
        </w:trPr>
        <w:tc>
          <w:tcPr>
            <w:tcW w:w="3352" w:type="dxa"/>
          </w:tcPr>
          <w:p>
            <w:pPr>
              <w:tabs>
                <w:tab w:val="left" w:pos="1641"/>
              </w:tabs>
              <w:jc w:val="right"/>
              <w:rPr>
                <w:rFonts w:ascii="华文楷体" w:hAnsi="华文楷体" w:eastAsia="华文楷体"/>
                <w:b/>
                <w:sz w:val="44"/>
              </w:rPr>
            </w:pPr>
            <w:r>
              <w:rPr>
                <w:rFonts w:hint="eastAsia" w:ascii="华文楷体" w:hAnsi="华文楷体" w:eastAsia="华文楷体"/>
                <w:b/>
                <w:sz w:val="44"/>
              </w:rPr>
              <w:t>学号：</w:t>
            </w:r>
          </w:p>
        </w:tc>
        <w:tc>
          <w:tcPr>
            <w:tcW w:w="4258" w:type="dxa"/>
          </w:tcPr>
          <w:p>
            <w:pPr>
              <w:tabs>
                <w:tab w:val="left" w:pos="1641"/>
              </w:tabs>
              <w:jc w:val="left"/>
              <w:rPr>
                <w:sz w:val="44"/>
                <w:u w:val="single"/>
              </w:rPr>
            </w:pPr>
            <w:r>
              <w:rPr>
                <w:rFonts w:hint="eastAsia"/>
                <w:sz w:val="44"/>
                <w:u w:val="single"/>
              </w:rPr>
              <w:t xml:space="preserve"> </w:t>
            </w:r>
            <w:r>
              <w:rPr>
                <w:sz w:val="44"/>
                <w:u w:val="single"/>
              </w:rPr>
              <w:t xml:space="preserve">12019311 </w:t>
            </w:r>
            <w:r>
              <w:rPr>
                <w:rFonts w:hint="eastAsia"/>
                <w:sz w:val="44"/>
                <w:u w:val="single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3352" w:type="dxa"/>
          </w:tcPr>
          <w:p>
            <w:pPr>
              <w:tabs>
                <w:tab w:val="left" w:pos="2434"/>
              </w:tabs>
              <w:jc w:val="right"/>
              <w:rPr>
                <w:rFonts w:ascii="华文楷体" w:hAnsi="华文楷体" w:eastAsia="华文楷体"/>
                <w:b/>
                <w:sz w:val="44"/>
              </w:rPr>
            </w:pPr>
            <w:r>
              <w:rPr>
                <w:rFonts w:hint="eastAsia" w:ascii="华文楷体" w:hAnsi="华文楷体" w:eastAsia="华文楷体"/>
                <w:b/>
                <w:sz w:val="44"/>
              </w:rPr>
              <w:t>班级：</w:t>
            </w:r>
          </w:p>
        </w:tc>
        <w:tc>
          <w:tcPr>
            <w:tcW w:w="4258" w:type="dxa"/>
          </w:tcPr>
          <w:p>
            <w:pPr>
              <w:tabs>
                <w:tab w:val="left" w:pos="1641"/>
              </w:tabs>
              <w:jc w:val="left"/>
              <w:rPr>
                <w:sz w:val="44"/>
                <w:u w:val="single"/>
              </w:rPr>
            </w:pPr>
            <w:r>
              <w:rPr>
                <w:rFonts w:hint="eastAsia"/>
                <w:sz w:val="44"/>
                <w:u w:val="single"/>
              </w:rPr>
              <w:t xml:space="preserve"> </w:t>
            </w:r>
            <w:r>
              <w:rPr>
                <w:sz w:val="44"/>
                <w:u w:val="single"/>
              </w:rPr>
              <w:t>陶老师班</w:t>
            </w:r>
            <w:r>
              <w:rPr>
                <w:rFonts w:hint="eastAsia"/>
                <w:sz w:val="44"/>
                <w:u w:val="single"/>
              </w:rPr>
              <w:t xml:space="preserve">  </w:t>
            </w:r>
          </w:p>
        </w:tc>
      </w:tr>
    </w:tbl>
    <w:p>
      <w:pPr>
        <w:tabs>
          <w:tab w:val="left" w:pos="1641"/>
        </w:tabs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1065530</wp:posOffset>
                </wp:positionH>
                <wp:positionV relativeFrom="paragraph">
                  <wp:posOffset>40640</wp:posOffset>
                </wp:positionV>
                <wp:extent cx="5060315" cy="1676400"/>
                <wp:effectExtent l="0" t="0" r="0" b="0"/>
                <wp:wrapSquare wrapText="bothSides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315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华文楷体" w:hAnsi="华文楷体" w:eastAsia="华文楷体"/>
                                <w:b/>
                                <w:sz w:val="96"/>
                              </w:rPr>
                            </w:pPr>
                            <w:r>
                              <w:rPr>
                                <w:rFonts w:ascii="华文楷体" w:hAnsi="华文楷体" w:eastAsia="华文楷体"/>
                                <w:b/>
                                <w:sz w:val="96"/>
                              </w:rPr>
                              <w:t>微电子技术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华文楷体" w:hAnsi="华文楷体" w:eastAsia="华文楷体"/>
                                <w:b/>
                                <w:sz w:val="96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  <w:b/>
                                <w:sz w:val="96"/>
                              </w:rPr>
                              <w:t>作业本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3.9pt;margin-top:3.2pt;height:132pt;width:398.45pt;mso-wrap-distance-bottom:0pt;mso-wrap-distance-left:9pt;mso-wrap-distance-right:9pt;mso-wrap-distance-top:0pt;mso-wrap-style:none;z-index:251659264;mso-width-relative:page;mso-height-relative:page;" filled="f" stroked="f" coordsize="21600,21600" o:gfxdata="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WAAAAZHJzL1BLAQIUABQAAAAIAIdO4kAFKzIt1gAAAAkBAAAPAAAA&#10;AAAAAAEAIAAAADgAAABkcnMvZG93bnJldi54bWxQSwECFAAUAAAACACHTuJA8pE7yDoCAABqBAAA&#10;DgAAAAAAAAABACAAAAA7AQAAZHJzL2Uyb0RvYy54bWxQSwUGAAAAAAYABgBZAQAA5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center"/>
                        <w:rPr>
                          <w:rFonts w:ascii="华文楷体" w:hAnsi="华文楷体" w:eastAsia="华文楷体"/>
                          <w:b/>
                          <w:sz w:val="96"/>
                        </w:rPr>
                      </w:pPr>
                      <w:r>
                        <w:rPr>
                          <w:rFonts w:ascii="华文楷体" w:hAnsi="华文楷体" w:eastAsia="华文楷体"/>
                          <w:b/>
                          <w:sz w:val="96"/>
                        </w:rPr>
                        <w:t>微电子技术</w:t>
                      </w:r>
                    </w:p>
                    <w:p>
                      <w:pPr>
                        <w:jc w:val="center"/>
                        <w:rPr>
                          <w:rFonts w:ascii="华文楷体" w:hAnsi="华文楷体" w:eastAsia="华文楷体"/>
                          <w:b/>
                          <w:sz w:val="96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  <w:b/>
                          <w:sz w:val="96"/>
                        </w:rPr>
                        <w:t>作业本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tabs>
          <w:tab w:val="left" w:pos="1641"/>
        </w:tabs>
      </w:pPr>
    </w:p>
    <w:p>
      <w:pPr>
        <w:tabs>
          <w:tab w:val="left" w:pos="1641"/>
        </w:tabs>
      </w:pPr>
    </w:p>
    <w:p>
      <w:pPr>
        <w:tabs>
          <w:tab w:val="left" w:pos="1641"/>
        </w:tabs>
      </w:pPr>
    </w:p>
    <w:p>
      <w:pPr>
        <w:tabs>
          <w:tab w:val="left" w:pos="1641"/>
        </w:tabs>
      </w:pPr>
    </w:p>
    <w:p>
      <w:pPr>
        <w:tabs>
          <w:tab w:val="left" w:pos="1641"/>
        </w:tabs>
      </w:pPr>
    </w:p>
    <w:p>
      <w:pPr>
        <w:tabs>
          <w:tab w:val="left" w:pos="1641"/>
        </w:tabs>
      </w:pPr>
    </w:p>
    <w:p>
      <w:pPr>
        <w:tabs>
          <w:tab w:val="left" w:pos="1641"/>
        </w:tabs>
      </w:pPr>
    </w:p>
    <w:p>
      <w:pPr>
        <w:tabs>
          <w:tab w:val="left" w:pos="1641"/>
        </w:tabs>
      </w:pPr>
    </w:p>
    <w:p>
      <w:pPr>
        <w:tabs>
          <w:tab w:val="left" w:pos="1641"/>
        </w:tabs>
      </w:pPr>
    </w:p>
    <w:p>
      <w:pPr>
        <w:tabs>
          <w:tab w:val="left" w:pos="1641"/>
        </w:tabs>
      </w:pPr>
    </w:p>
    <w:p>
      <w:pPr>
        <w:tabs>
          <w:tab w:val="left" w:pos="1641"/>
        </w:tabs>
      </w:pPr>
    </w:p>
    <w:p>
      <w:pPr>
        <w:tabs>
          <w:tab w:val="left" w:pos="1641"/>
        </w:tabs>
      </w:pPr>
    </w:p>
    <w:p>
      <w:pPr>
        <w:tabs>
          <w:tab w:val="left" w:pos="1641"/>
        </w:tabs>
      </w:pPr>
    </w:p>
    <w:p>
      <w:pPr>
        <w:tabs>
          <w:tab w:val="left" w:pos="1641"/>
        </w:tabs>
      </w:pPr>
    </w:p>
    <w:p>
      <w:pPr>
        <w:tabs>
          <w:tab w:val="left" w:pos="1641"/>
        </w:tabs>
      </w:pPr>
    </w:p>
    <w:p>
      <w:pPr>
        <w:tabs>
          <w:tab w:val="left" w:pos="1641"/>
        </w:tabs>
      </w:pPr>
    </w:p>
    <w:p>
      <w:pPr>
        <w:tabs>
          <w:tab w:val="left" w:pos="1641"/>
        </w:tabs>
      </w:pPr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hAnsiTheme="minorHAnsi" w:eastAsiaTheme="minorEastAsia" w:cstheme="minorBidi"/>
          <w:b w:val="0"/>
          <w:color w:val="auto"/>
          <w:kern w:val="2"/>
          <w:sz w:val="40"/>
          <w:szCs w:val="24"/>
          <w:lang w:val="zh-CN"/>
        </w:rPr>
        <w:id w:val="23136069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color w:val="auto"/>
          <w:kern w:val="2"/>
          <w:sz w:val="24"/>
          <w:szCs w:val="24"/>
          <w:lang w:val="en-US"/>
        </w:rPr>
      </w:sdtEndPr>
      <w:sdtContent>
        <w:p>
          <w:pPr>
            <w:pStyle w:val="18"/>
            <w:rPr>
              <w:sz w:val="40"/>
            </w:rPr>
          </w:pPr>
          <w:r>
            <w:rPr>
              <w:sz w:val="40"/>
              <w:lang w:val="zh-CN"/>
            </w:rPr>
            <w:t>目录</w:t>
          </w:r>
        </w:p>
        <w:p>
          <w:pPr>
            <w:rPr>
              <w:rFonts w:asciiTheme="minorHAnsi" w:hAnsiTheme="minorHAnsi" w:eastAsiaTheme="minorEastAsia" w:cstheme="minorBidi"/>
              <w:sz w:val="24"/>
            </w:rPr>
          </w:pPr>
        </w:p>
      </w:sdtContent>
    </w:sdt>
    <w:sdt>
      <w:sdtPr>
        <w:rPr>
          <w:rFonts w:ascii="宋体" w:hAnsi="宋体" w:eastAsia="宋体"/>
        </w:rPr>
        <w:id w:val="366085106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</w:rPr>
      </w:sdtEndPr>
      <w:sdtContent>
        <w:p>
          <w:pPr>
            <w:jc w:val="center"/>
          </w:pPr>
          <w:r>
            <w:rPr>
              <w:rFonts w:ascii="宋体" w:hAnsi="宋体" w:eastAsia="宋体"/>
            </w:rPr>
            <w:t>目录</w:t>
          </w:r>
        </w:p>
        <w:p>
          <w:pPr>
            <w:pStyle w:val="12"/>
            <w:tabs>
              <w:tab w:val="right" w:leader="dot" w:pos="8300"/>
            </w:tabs>
          </w:pPr>
          <w:r>
            <w:rPr>
              <w:rFonts w:asciiTheme="minorHAnsi" w:hAnsiTheme="minorHAnsi" w:eastAsiaTheme="minorEastAsia" w:cstheme="minorBidi"/>
              <w:b w:val="0"/>
              <w:sz w:val="24"/>
            </w:rPr>
            <w:fldChar w:fldCharType="begin"/>
          </w:r>
          <w:r>
            <w:rPr>
              <w:rFonts w:asciiTheme="minorHAnsi" w:hAnsiTheme="minorHAnsi" w:eastAsiaTheme="minorEastAsia" w:cstheme="minorBidi"/>
              <w:b w:val="0"/>
              <w:sz w:val="24"/>
            </w:rPr>
            <w:instrText xml:space="preserve">TOC \o "1-9" \h \u </w:instrText>
          </w:r>
          <w:r>
            <w:rPr>
              <w:rFonts w:asciiTheme="minorHAnsi" w:hAnsiTheme="minorHAnsi" w:eastAsiaTheme="minorEastAsia" w:cstheme="minorBidi"/>
              <w:b w:val="0"/>
              <w:sz w:val="24"/>
            </w:rPr>
            <w:fldChar w:fldCharType="separate"/>
          </w:r>
          <w:r>
            <w:fldChar w:fldCharType="begin"/>
          </w:r>
          <w:r>
            <w:instrText xml:space="preserve"> HYPERLINK \l "_Toc677606984" </w:instrText>
          </w:r>
          <w:r>
            <w:fldChar w:fldCharType="separate"/>
          </w:r>
          <w:r>
            <w:t>作业四</w:t>
          </w:r>
          <w:r>
            <w:tab/>
          </w:r>
          <w:r>
            <w:fldChar w:fldCharType="begin"/>
          </w:r>
          <w:r>
            <w:instrText xml:space="preserve"> PAGEREF _Toc677606984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rPr>
              <w:rFonts w:asciiTheme="minorHAnsi" w:hAnsiTheme="minorHAnsi" w:eastAsiaTheme="minorEastAsia" w:cstheme="minorBidi"/>
            </w:rPr>
          </w:pPr>
          <w:r>
            <w:rPr>
              <w:rFonts w:asciiTheme="minorHAnsi" w:hAnsiTheme="minorHAnsi" w:eastAsiaTheme="minorEastAsia" w:cstheme="minorBidi"/>
            </w:rPr>
            <w:fldChar w:fldCharType="end"/>
          </w:r>
        </w:p>
      </w:sdtContent>
    </w:sdt>
    <w:p>
      <w:pPr>
        <w:rPr>
          <w:rFonts w:asciiTheme="minorHAnsi" w:hAnsiTheme="minorHAnsi" w:eastAsiaTheme="minorEastAsia" w:cstheme="minorBidi"/>
        </w:rPr>
      </w:pPr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  <w:rPr>
          <w:rFonts w:hint="default"/>
        </w:rPr>
      </w:pPr>
      <w:bookmarkStart w:id="0" w:name="_Toc677606984"/>
      <w:r>
        <w:t>作业</w:t>
      </w:r>
      <w:bookmarkEnd w:id="0"/>
      <w:r>
        <w:t>四</w:t>
      </w:r>
    </w:p>
    <w:p>
      <w:pPr>
        <w:pStyle w:val="19"/>
        <w:numPr>
          <w:ilvl w:val="0"/>
          <w:numId w:val="1"/>
        </w:numPr>
        <w:ind w:firstLineChars="0"/>
        <w:rPr>
          <w:i/>
          <w:color w:val="0000FF"/>
        </w:rPr>
      </w:pPr>
      <w:r>
        <w:rPr>
          <w:i/>
          <w:color w:val="0000FF"/>
        </w:rPr>
        <w:t>列出至少三种提高投影式曝光系统分辨率的方法?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分辨率是能精确转移到衬底表面光刻胶上的最小特征尺寸，提高分辨率的方法有：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针对不同的应用要求选择合适的掩膜版。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光照强度会影响曝光时间，光刻胶厚度等因素，影响分辨率，所以选择合适的光照强队也可以提升分辨率。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显影时间取决于光刻胶的厚度，材料，会影响到显影结果，最后影响到分辨率。所以调整显影时间也可以提高系统的分辨率。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kern w:val="0"/>
          <w:sz w:val="24"/>
          <w:lang w:bidi="ar"/>
        </w:rPr>
      </w:pPr>
    </w:p>
    <w:p>
      <w:pPr>
        <w:pStyle w:val="19"/>
        <w:numPr>
          <w:ilvl w:val="0"/>
          <w:numId w:val="1"/>
        </w:numPr>
        <w:ind w:firstLineChars="0"/>
        <w:rPr>
          <w:i/>
          <w:color w:val="0000FF"/>
        </w:rPr>
      </w:pPr>
      <w:r>
        <w:rPr>
          <w:i/>
          <w:color w:val="0000FF"/>
        </w:rPr>
        <w:t>湿法刻蚀和干法刻蚀的基本原理是什么？各有什么优缺点</w:t>
      </w:r>
    </w:p>
    <w:p>
      <w:pPr>
        <w:ind w:firstLine="420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t>干法刻蚀是把硅片表面暴露于空气中产生的等离子体, 等离子体通过光刻胶中开出的窗口, 与硅片发生物理或化学反应, 从而去掉暴露的表面材料。</w:t>
      </w:r>
    </w:p>
    <w:p>
      <w:pPr>
        <w:ind w:firstLine="420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t>湿法刻蚀是以液体化学试剂以化学方式去除硅片表面的材料。</w:t>
      </w:r>
    </w:p>
    <w:p>
      <w:pPr>
        <w:ind w:firstLine="420"/>
        <w:rPr>
          <w:rFonts w:ascii="宋体" w:hAnsi="宋体" w:eastAsia="宋体" w:cs="宋体"/>
          <w:kern w:val="0"/>
          <w:sz w:val="24"/>
          <w:lang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t>干法刻蚀优点:</w:t>
      </w:r>
    </w:p>
    <w:p>
      <w:pPr>
        <w:ind w:firstLine="420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t>(1)刻蚀剖面是各向异性, 具有非常好的侧壁剖面控制,</w:t>
      </w:r>
    </w:p>
    <w:p>
      <w:pPr>
        <w:ind w:firstLine="420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t>(2)好的CD控制</w:t>
      </w:r>
    </w:p>
    <w:p>
      <w:pPr>
        <w:ind w:firstLine="420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t>(3)最小的光刻胶脱落或粘附问题</w:t>
      </w:r>
    </w:p>
    <w:p>
      <w:pPr>
        <w:ind w:firstLine="420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t>(4)好的片内, 片间, 批次间的刻蚀均匀性</w:t>
      </w:r>
    </w:p>
    <w:p>
      <w:pPr>
        <w:ind w:firstLine="420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t>(5)较低的化学制品使用和处理费用</w:t>
      </w:r>
    </w:p>
    <w:p>
      <w:pPr>
        <w:ind w:firstLine="420"/>
        <w:rPr>
          <w:rFonts w:hint="eastAsia"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干法刻蚀不足: 对下层材料的差的刻蚀选择比, 等离子体带来的器件损伤和担贵的设备。</w:t>
      </w:r>
    </w:p>
    <w:p>
      <w:pPr>
        <w:ind w:firstLine="420"/>
        <w:rPr>
          <w:rFonts w:hint="eastAsia" w:ascii="宋体" w:hAnsi="宋体" w:eastAsia="宋体" w:cs="宋体"/>
          <w:kern w:val="0"/>
          <w:sz w:val="24"/>
          <w:lang w:bidi="ar"/>
        </w:rPr>
      </w:pPr>
    </w:p>
    <w:p>
      <w:pPr>
        <w:ind w:firstLine="420"/>
        <w:rPr>
          <w:rFonts w:hint="eastAsia"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湿法</w:t>
      </w:r>
      <w:r>
        <w:rPr>
          <w:rFonts w:hint="eastAsia" w:ascii="宋体" w:hAnsi="宋体" w:eastAsia="宋体" w:cs="宋体"/>
          <w:kern w:val="0"/>
          <w:sz w:val="24"/>
          <w:lang w:bidi="ar"/>
        </w:rPr>
        <w:t>刻蚀</w:t>
      </w:r>
      <w:r>
        <w:rPr>
          <w:rFonts w:hint="default" w:ascii="宋体" w:hAnsi="宋体" w:eastAsia="宋体" w:cs="宋体"/>
          <w:kern w:val="0"/>
          <w:sz w:val="24"/>
          <w:lang w:bidi="ar"/>
        </w:rPr>
        <w:t>优缺点</w:t>
      </w:r>
      <w:r>
        <w:rPr>
          <w:rFonts w:hint="eastAsia" w:ascii="宋体" w:hAnsi="宋体" w:eastAsia="宋体" w:cs="宋体"/>
          <w:kern w:val="0"/>
          <w:sz w:val="24"/>
          <w:lang w:bidi="ar"/>
        </w:rPr>
        <w:t>点:</w:t>
      </w:r>
    </w:p>
    <w:p>
      <w:pPr>
        <w:numPr>
          <w:ilvl w:val="0"/>
          <w:numId w:val="3"/>
        </w:numPr>
        <w:ind w:firstLine="420"/>
        <w:rPr>
          <w:rFonts w:hint="eastAsia" w:ascii="宋体" w:hAnsi="宋体" w:eastAsia="宋体" w:cs="宋体"/>
          <w:i w:val="0"/>
          <w:iCs w:val="0"/>
          <w:caps w:val="0"/>
          <w:color w:val="191919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91919"/>
          <w:spacing w:val="0"/>
          <w:sz w:val="24"/>
          <w:szCs w:val="24"/>
          <w:shd w:val="clear" w:fill="FFFFFF"/>
        </w:rPr>
        <w:t>设备简单，刻蚀速率高，选择性高</w:t>
      </w:r>
    </w:p>
    <w:p>
      <w:pPr>
        <w:numPr>
          <w:ilvl w:val="0"/>
          <w:numId w:val="3"/>
        </w:numPr>
        <w:ind w:firstLine="420"/>
        <w:rPr>
          <w:rFonts w:hint="eastAsia" w:ascii="宋体" w:hAnsi="宋体" w:eastAsia="宋体" w:cs="宋体"/>
          <w:i w:val="0"/>
          <w:iCs w:val="0"/>
          <w:caps w:val="0"/>
          <w:color w:val="191919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91919"/>
          <w:spacing w:val="0"/>
          <w:sz w:val="24"/>
          <w:szCs w:val="24"/>
          <w:shd w:val="clear" w:fill="FFFFFF"/>
        </w:rPr>
        <w:t>湿蚀刻通常是各向同性的，这导致蚀刻剂化学物质去除了掩膜材料下方的基板材料</w:t>
      </w:r>
      <w:r>
        <w:rPr>
          <w:rFonts w:hint="eastAsia" w:ascii="宋体" w:hAnsi="宋体" w:eastAsia="宋体" w:cs="宋体"/>
          <w:i w:val="0"/>
          <w:iCs w:val="0"/>
          <w:caps w:val="0"/>
          <w:color w:val="191919"/>
          <w:spacing w:val="0"/>
          <w:sz w:val="24"/>
          <w:szCs w:val="24"/>
          <w:shd w:val="clear" w:fill="FFFFFF"/>
        </w:rPr>
        <w:t>。</w:t>
      </w:r>
    </w:p>
    <w:p>
      <w:pPr>
        <w:numPr>
          <w:ilvl w:val="0"/>
          <w:numId w:val="3"/>
        </w:numPr>
        <w:ind w:firstLine="420"/>
        <w:rPr>
          <w:rFonts w:hint="eastAsia" w:ascii="宋体" w:hAnsi="宋体" w:eastAsia="宋体" w:cs="宋体"/>
          <w:i w:val="0"/>
          <w:iCs w:val="0"/>
          <w:caps w:val="0"/>
          <w:color w:val="191919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91919"/>
          <w:spacing w:val="0"/>
          <w:sz w:val="24"/>
          <w:szCs w:val="24"/>
          <w:shd w:val="clear" w:fill="FFFFFF"/>
        </w:rPr>
        <w:t>湿蚀刻还需要大量的蚀刻剂化学物质，因为基底材料必须被蚀刻剂化学物质覆盖</w:t>
      </w:r>
    </w:p>
    <w:p>
      <w:pPr>
        <w:numPr>
          <w:ilvl w:val="0"/>
          <w:numId w:val="3"/>
        </w:numPr>
        <w:ind w:firstLine="420"/>
        <w:rPr>
          <w:rFonts w:hint="eastAsia" w:ascii="宋体" w:hAnsi="宋体" w:eastAsia="宋体" w:cs="宋体"/>
          <w:i w:val="0"/>
          <w:iCs w:val="0"/>
          <w:caps w:val="0"/>
          <w:color w:val="191919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91919"/>
          <w:spacing w:val="0"/>
          <w:sz w:val="24"/>
          <w:szCs w:val="24"/>
          <w:shd w:val="clear" w:fill="FFFFFF"/>
        </w:rPr>
        <w:t>必须一致地替换蚀刻剂化学物质，以保持相同的初始蚀刻速率</w:t>
      </w:r>
      <w:r>
        <w:rPr>
          <w:rFonts w:hint="eastAsia" w:ascii="宋体" w:hAnsi="宋体" w:eastAsia="宋体" w:cs="宋体"/>
          <w:i w:val="0"/>
          <w:iCs w:val="0"/>
          <w:caps w:val="0"/>
          <w:color w:val="191919"/>
          <w:spacing w:val="0"/>
          <w:sz w:val="24"/>
          <w:szCs w:val="24"/>
          <w:shd w:val="clear" w:fill="FFFFFF"/>
        </w:rPr>
        <w:t>,导致其化学成本很高。</w:t>
      </w:r>
    </w:p>
    <w:p>
      <w:pPr>
        <w:ind w:firstLine="420"/>
        <w:rPr>
          <w:rFonts w:hint="default" w:ascii="宋体" w:hAnsi="宋体" w:eastAsia="宋体" w:cs="宋体"/>
          <w:kern w:val="0"/>
          <w:sz w:val="24"/>
          <w:lang w:bidi="ar"/>
        </w:rPr>
      </w:pPr>
    </w:p>
    <w:p>
      <w:pPr>
        <w:ind w:firstLine="420"/>
        <w:rPr>
          <w:rFonts w:hint="default" w:ascii="宋体" w:hAnsi="宋体" w:eastAsia="宋体" w:cs="宋体"/>
          <w:kern w:val="0"/>
          <w:sz w:val="24"/>
          <w:lang w:bidi="ar"/>
        </w:rPr>
      </w:pPr>
    </w:p>
    <w:p>
      <w:pPr>
        <w:pStyle w:val="2"/>
      </w:pPr>
      <w:r>
        <w:rPr>
          <w:rFonts w:hint="eastAsia"/>
        </w:rPr>
        <w:t>参考文献:</w:t>
      </w:r>
    </w:p>
    <w:p>
      <w:pPr>
        <w:ind w:firstLine="420"/>
        <w:rPr>
          <w:rFonts w:hint="eastAsia" w:ascii="宋体" w:hAnsi="宋体" w:eastAsia="宋体" w:cs="宋体"/>
          <w:kern w:val="0"/>
          <w:sz w:val="24"/>
          <w:lang w:bidi="ar"/>
        </w:rPr>
      </w:pPr>
      <w:bookmarkStart w:id="1" w:name="_GoBack"/>
      <w:bookmarkEnd w:id="1"/>
    </w:p>
    <w:sectPr>
      <w:footerReference r:id="rId3" w:type="default"/>
      <w:footerReference r:id="rId4" w:type="even"/>
      <w:pgSz w:w="11900" w:h="16840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altName w:val="汉仪旗黑KW 55S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Calibri Light">
    <w:altName w:val="Arial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Noto Sans Symbols2">
    <w:panose1 w:val="020B0502040504020204"/>
    <w:charset w:val="00"/>
    <w:family w:val="auto"/>
    <w:pitch w:val="default"/>
    <w:sig w:usb0="80000003" w:usb1="0200E3E4" w:usb2="00040020" w:usb3="0580A048" w:csb0="0000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center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separate"/>
    </w:r>
    <w:r>
      <w:rPr>
        <w:rStyle w:val="16"/>
      </w:rPr>
      <w:t>2</w:t>
    </w:r>
    <w:r>
      <w:rPr>
        <w:rStyle w:val="16"/>
      </w:rPr>
      <w:fldChar w:fldCharType="end"/>
    </w:r>
  </w:p>
  <w:p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center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end"/>
    </w:r>
  </w:p>
  <w:p>
    <w:pPr>
      <w:pStyle w:val="11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FE7526"/>
    <w:multiLevelType w:val="singleLevel"/>
    <w:tmpl w:val="FAFE7526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42282902"/>
    <w:multiLevelType w:val="multilevel"/>
    <w:tmpl w:val="4228290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CFECB55"/>
    <w:multiLevelType w:val="singleLevel"/>
    <w:tmpl w:val="5CFECB55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035683C"/>
    <w:rsid w:val="00485EAC"/>
    <w:rsid w:val="00517553"/>
    <w:rsid w:val="00635BC6"/>
    <w:rsid w:val="006C1F97"/>
    <w:rsid w:val="00870942"/>
    <w:rsid w:val="00900500"/>
    <w:rsid w:val="00FF000A"/>
    <w:rsid w:val="07011CC2"/>
    <w:rsid w:val="07644792"/>
    <w:rsid w:val="09284798"/>
    <w:rsid w:val="0F2B6FD9"/>
    <w:rsid w:val="12FF3C50"/>
    <w:rsid w:val="183C240D"/>
    <w:rsid w:val="1AA24D9F"/>
    <w:rsid w:val="1F370963"/>
    <w:rsid w:val="1F3F33BD"/>
    <w:rsid w:val="28DA2E89"/>
    <w:rsid w:val="2A4254F9"/>
    <w:rsid w:val="2BFEDC2C"/>
    <w:rsid w:val="2D1F32F4"/>
    <w:rsid w:val="323B4D81"/>
    <w:rsid w:val="34B70380"/>
    <w:rsid w:val="3AE174A3"/>
    <w:rsid w:val="3F26E732"/>
    <w:rsid w:val="3FDBD367"/>
    <w:rsid w:val="3FF295F4"/>
    <w:rsid w:val="43446334"/>
    <w:rsid w:val="44A84E71"/>
    <w:rsid w:val="477DCE1E"/>
    <w:rsid w:val="48FF502B"/>
    <w:rsid w:val="4BBB300A"/>
    <w:rsid w:val="4FF92427"/>
    <w:rsid w:val="55FF3F2A"/>
    <w:rsid w:val="573E1E21"/>
    <w:rsid w:val="5B487E91"/>
    <w:rsid w:val="5CF9550F"/>
    <w:rsid w:val="5EFEBDE8"/>
    <w:rsid w:val="5F7E94F9"/>
    <w:rsid w:val="63EFCAF1"/>
    <w:rsid w:val="65B62D62"/>
    <w:rsid w:val="68CA2609"/>
    <w:rsid w:val="68CC1AED"/>
    <w:rsid w:val="69BB0F42"/>
    <w:rsid w:val="6A637494"/>
    <w:rsid w:val="6BCF62E6"/>
    <w:rsid w:val="6CD3A16D"/>
    <w:rsid w:val="6D535020"/>
    <w:rsid w:val="6E5F49A6"/>
    <w:rsid w:val="6F5B3D50"/>
    <w:rsid w:val="6FFF37D2"/>
    <w:rsid w:val="70DE2EF1"/>
    <w:rsid w:val="737F560A"/>
    <w:rsid w:val="77FEA91E"/>
    <w:rsid w:val="7ADF0F20"/>
    <w:rsid w:val="7BEFF087"/>
    <w:rsid w:val="7C5F4108"/>
    <w:rsid w:val="7DFF1AF4"/>
    <w:rsid w:val="7DFFC03F"/>
    <w:rsid w:val="7EE92FA7"/>
    <w:rsid w:val="7F79C282"/>
    <w:rsid w:val="7F7B6CAE"/>
    <w:rsid w:val="7F8DB433"/>
    <w:rsid w:val="7FBF6DD0"/>
    <w:rsid w:val="7FCD17FE"/>
    <w:rsid w:val="7FD78707"/>
    <w:rsid w:val="7FD7E9A0"/>
    <w:rsid w:val="7FE9FBB2"/>
    <w:rsid w:val="7FEA143A"/>
    <w:rsid w:val="7FFC0373"/>
    <w:rsid w:val="7FFF145C"/>
    <w:rsid w:val="8FFFA67E"/>
    <w:rsid w:val="A97F623E"/>
    <w:rsid w:val="ADBD3D01"/>
    <w:rsid w:val="AFBF8780"/>
    <w:rsid w:val="BADF65B8"/>
    <w:rsid w:val="BEEFCB4B"/>
    <w:rsid w:val="BFDB0C9B"/>
    <w:rsid w:val="BFE6F841"/>
    <w:rsid w:val="CDF7AD0E"/>
    <w:rsid w:val="D2EFED34"/>
    <w:rsid w:val="D5DE8897"/>
    <w:rsid w:val="DFFAD8BF"/>
    <w:rsid w:val="E7319ECA"/>
    <w:rsid w:val="E7FE3684"/>
    <w:rsid w:val="EBBF45A2"/>
    <w:rsid w:val="EDF7851A"/>
    <w:rsid w:val="EFFF70E4"/>
    <w:rsid w:val="F0DD8D82"/>
    <w:rsid w:val="F6EFEC03"/>
    <w:rsid w:val="F7EEC240"/>
    <w:rsid w:val="F7EF34C9"/>
    <w:rsid w:val="FBF75102"/>
    <w:rsid w:val="FDB7D74C"/>
    <w:rsid w:val="FDBE3C3E"/>
    <w:rsid w:val="FDDC5620"/>
    <w:rsid w:val="FDEA700A"/>
    <w:rsid w:val="FEF5CB6A"/>
    <w:rsid w:val="FFBFCE42"/>
    <w:rsid w:val="FFEFD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iPriority="99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after="220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00"/>
      <w:outlineLvl w:val="1"/>
    </w:pPr>
    <w:rPr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180"/>
      <w:outlineLvl w:val="2"/>
    </w:pPr>
    <w:rPr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after="160"/>
      <w:outlineLvl w:val="3"/>
    </w:pPr>
    <w:rPr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after="160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120"/>
      <w:outlineLvl w:val="5"/>
    </w:pPr>
    <w:rPr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after="120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after="64"/>
      <w:outlineLvl w:val="7"/>
    </w:pPr>
    <w:rPr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after="64"/>
      <w:outlineLvl w:val="8"/>
    </w:pPr>
  </w:style>
  <w:style w:type="character" w:default="1" w:styleId="15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toc 1"/>
    <w:basedOn w:val="1"/>
    <w:next w:val="1"/>
    <w:unhideWhenUsed/>
    <w:uiPriority w:val="39"/>
    <w:pPr>
      <w:spacing w:before="120"/>
      <w:jc w:val="left"/>
    </w:pPr>
    <w:rPr>
      <w:b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page number"/>
    <w:basedOn w:val="15"/>
    <w:semiHidden/>
    <w:unhideWhenUsed/>
    <w:uiPriority w:val="99"/>
  </w:style>
  <w:style w:type="character" w:styleId="17">
    <w:name w:val="Hyperlink"/>
    <w:basedOn w:val="1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8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9</Pages>
  <Words>561</Words>
  <Characters>3198</Characters>
  <Lines>26</Lines>
  <Paragraphs>7</Paragraphs>
  <TotalTime>0</TotalTime>
  <ScaleCrop>false</ScaleCrop>
  <LinksUpToDate>false</LinksUpToDate>
  <CharactersWithSpaces>3752</CharactersWithSpaces>
  <Application>WPS Office WWO_wpscloud_20220929171142-809cbb3646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2018-05-29T01:24:00Z</dcterms:created>
  <cp:lastModifiedBy>丁 力</cp:lastModifiedBy>
  <dcterms:modified xsi:type="dcterms:W3CDTF">2022-10-14T16:32:58Z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