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论文阅读：Benchmark of Machine Learning Force Fields for</w:t>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阅读论文：</w:t>
            </w:r>
          </w:p>
          <w:p>
            <w:pPr>
              <w:spacing w:before="120" w:after="120" w:line="288" w:lineRule="auto"/>
              <w:ind w:left="0"/>
              <w:jc w:val="left"/>
            </w:pPr>
            <w:r>
              <w:rPr>
                <w:rFonts w:eastAsia="等线" w:ascii="Arial" w:cs="Arial" w:hAnsi="Arial"/>
                <w:b w:val="true"/>
                <w:sz w:val="22"/>
              </w:rPr>
              <w:t>《 Benchmark of Machine Learning Force Fields for Semiconductor Simulations: Datasets, Metrics, and Comparative Analysis》</w:t>
            </w:r>
          </w:p>
        </w:tc>
      </w:tr>
    </w:tbl>
    <w:p>
      <w:pPr>
        <w:numPr>
          <w:numId w:val="1"/>
        </w:numPr>
        <w:spacing w:before="120" w:after="120" w:line="288" w:lineRule="auto"/>
        <w:ind w:left="0"/>
        <w:jc w:val="left"/>
      </w:pPr>
      <w:r>
        <w:rPr>
          <w:rFonts w:eastAsia="等线" w:ascii="Arial" w:cs="Arial" w:hAnsi="Arial"/>
          <w:sz w:val="22"/>
        </w:rPr>
        <w:t>作者单位:</w:t>
      </w:r>
    </w:p>
    <w:p>
      <w:pPr>
        <w:spacing w:before="120" w:after="120" w:line="288" w:lineRule="auto"/>
        <w:ind w:left="0" w:firstLine="420"/>
        <w:jc w:val="left"/>
      </w:pPr>
      <w:r>
        <w:rPr>
          <w:rFonts w:eastAsia="等线" w:ascii="Arial" w:cs="Arial" w:hAnsi="Arial"/>
          <w:sz w:val="22"/>
        </w:rPr>
        <w:t>SAIT(三星高等技术研究院)</w:t>
      </w:r>
    </w:p>
    <w:p>
      <w:pPr>
        <w:numPr>
          <w:numId w:val="2"/>
        </w:numPr>
        <w:spacing w:before="120" w:after="120" w:line="288" w:lineRule="auto"/>
        <w:ind w:left="0"/>
        <w:jc w:val="left"/>
      </w:pPr>
      <w:r>
        <w:rPr>
          <w:rFonts w:eastAsia="等线" w:ascii="Arial" w:cs="Arial" w:hAnsi="Arial"/>
          <w:sz w:val="22"/>
        </w:rPr>
        <w:t>论文发表期刊</w:t>
      </w:r>
    </w:p>
    <w:p>
      <w:pPr>
        <w:spacing w:before="120" w:after="120" w:line="288" w:lineRule="auto"/>
        <w:ind w:left="0" w:firstLine="420"/>
        <w:jc w:val="left"/>
      </w:pPr>
      <w:r>
        <w:rPr>
          <w:rFonts w:eastAsia="等线" w:ascii="Arial" w:cs="Arial" w:hAnsi="Arial"/>
          <w:sz w:val="22"/>
        </w:rPr>
        <w:t>neurips</w:t>
      </w:r>
    </w:p>
    <w:p>
      <w:pPr>
        <w:numPr>
          <w:numId w:val="3"/>
        </w:numPr>
        <w:spacing w:before="120" w:after="120" w:line="288" w:lineRule="auto"/>
        <w:ind w:left="0"/>
        <w:jc w:val="left"/>
      </w:pPr>
      <w:r>
        <w:rPr>
          <w:rFonts w:eastAsia="等线" w:ascii="Arial" w:cs="Arial" w:hAnsi="Arial"/>
          <w:sz w:val="22"/>
        </w:rPr>
        <w:t>代码链接</w:t>
      </w:r>
    </w:p>
    <w:p>
      <w:pPr>
        <w:spacing w:before="120" w:after="120" w:line="288" w:lineRule="auto"/>
        <w:ind w:left="0" w:firstLine="420"/>
        <w:jc w:val="left"/>
      </w:pPr>
      <w:r>
        <w:rPr>
          <w:rFonts w:eastAsia="等线" w:ascii="Arial" w:cs="Arial" w:hAnsi="Arial"/>
          <w:sz w:val="22"/>
        </w:rPr>
        <w:t>https://github.com/SAITPublic/MLFF-Framework</w:t>
      </w:r>
    </w:p>
    <w:p>
      <w:pPr>
        <w:spacing w:before="120" w:after="120" w:line="288" w:lineRule="auto"/>
        <w:ind w:left="0"/>
        <w:jc w:val="left"/>
      </w:pPr>
    </w:p>
    <w:p>
      <w:pPr>
        <w:pStyle w:val="1"/>
        <w:spacing w:before="380" w:after="140" w:line="288" w:lineRule="auto"/>
        <w:ind w:left="0"/>
        <w:jc w:val="left"/>
        <w:outlineLvl w:val="0"/>
      </w:pPr>
      <w:bookmarkStart w:name="heading_0" w:id="0"/>
      <w:r>
        <w:rPr>
          <w:rFonts w:eastAsia="等线" w:ascii="Arial" w:cs="Arial" w:hAnsi="Arial"/>
          <w:b w:val="true"/>
          <w:sz w:val="36"/>
        </w:rPr>
        <w:t>论文主要内容</w:t>
      </w:r>
      <w:r>
        <w:rPr>
          <w:rFonts w:eastAsia="等线" w:ascii="Arial" w:cs="Arial" w:hAnsi="Arial"/>
          <w:b w:val="true"/>
          <w:sz w:val="36"/>
        </w:rPr>
        <w:t xml:space="preserve"> </w:t>
      </w:r>
      <w:bookmarkEnd w:id="0"/>
    </w:p>
    <w:p>
      <w:pPr>
        <w:numPr>
          <w:numId w:val="4"/>
        </w:numPr>
        <w:spacing w:before="120" w:after="120" w:line="288" w:lineRule="auto"/>
        <w:ind w:left="0"/>
        <w:jc w:val="left"/>
      </w:pPr>
      <w:r>
        <w:rPr>
          <w:rFonts w:eastAsia="等线" w:ascii="Arial" w:cs="Arial" w:hAnsi="Arial"/>
          <w:sz w:val="22"/>
        </w:rPr>
        <w:t>引入了</w:t>
      </w:r>
      <w:r>
        <w:rPr>
          <w:rFonts w:eastAsia="等线" w:ascii="Arial" w:cs="Arial" w:hAnsi="Arial"/>
          <w:sz w:val="22"/>
          <w:shd w:fill="fff67a"/>
        </w:rPr>
        <w:t>两个新的机器学习力场(MLFF)基准数据集SAMD23</w:t>
      </w:r>
      <w:r>
        <w:rPr>
          <w:rFonts w:eastAsia="等线" w:ascii="Arial" w:cs="Arial" w:hAnsi="Arial"/>
          <w:sz w:val="22"/>
        </w:rPr>
        <w:t>,反映了在各种情况下对SiN和HfO进行的半导体模拟。这为研究人员提供了标准的数据集来开发和评估MLFF模型在半导体材料模拟中的性能。</w:t>
      </w:r>
    </w:p>
    <w:p>
      <w:pPr>
        <w:numPr>
          <w:numId w:val="5"/>
        </w:numPr>
        <w:spacing w:before="120" w:after="120" w:line="288" w:lineRule="auto"/>
        <w:ind w:left="0"/>
        <w:jc w:val="left"/>
      </w:pPr>
      <w:r>
        <w:rPr>
          <w:rFonts w:eastAsia="等线" w:ascii="Arial" w:cs="Arial" w:hAnsi="Arial"/>
          <w:sz w:val="22"/>
        </w:rPr>
        <w:t>提供了一个框架来促进MLFF模型的开发。该框架可能包含数据预处理、模型训练、性能评估等组件,方便研究人员快速开发和测试模型。</w:t>
      </w:r>
    </w:p>
    <w:p>
      <w:pPr>
        <w:numPr>
          <w:numId w:val="6"/>
        </w:numPr>
        <w:spacing w:before="120" w:after="120" w:line="288" w:lineRule="auto"/>
        <w:ind w:left="0"/>
        <w:jc w:val="left"/>
      </w:pPr>
      <w:r>
        <w:rPr>
          <w:rFonts w:eastAsia="等线" w:ascii="Arial" w:cs="Arial" w:hAnsi="Arial"/>
          <w:sz w:val="22"/>
        </w:rPr>
        <w:t>为SiN和HfO提供了基准测试,并提出了五个模拟指标来评估MLFF模型在模拟中的预测性能和外推能力。这些指标为全面评价模型在半导体材料模拟中的表现提供了标准。</w:t>
      </w:r>
    </w:p>
    <w:p>
      <w:pPr>
        <w:numPr>
          <w:numId w:val="7"/>
        </w:numPr>
        <w:spacing w:before="120" w:after="120" w:line="288" w:lineRule="auto"/>
        <w:ind w:left="0"/>
        <w:jc w:val="left"/>
      </w:pPr>
      <w:r>
        <w:rPr>
          <w:rFonts w:eastAsia="等线" w:ascii="Arial" w:cs="Arial" w:hAnsi="Arial"/>
          <w:sz w:val="22"/>
        </w:rPr>
        <w:t>通过对10个MLFF模型进行比较分析,提出了一个基线训练方案和模型选择策略,以在实际模拟中使用性能最优的模型。这为研究人员在众多MLFF模型中选择最适合特定半导体模拟任务的模型提供了指导。</w:t>
      </w:r>
    </w:p>
    <w:p>
      <w:pPr>
        <w:spacing w:before="120" w:after="120" w:line="288" w:lineRule="auto"/>
        <w:ind w:left="0"/>
        <w:jc w:val="left"/>
      </w:pPr>
    </w:p>
    <w:p>
      <w:pPr>
        <w:pStyle w:val="1"/>
        <w:spacing w:before="380" w:after="140" w:line="288" w:lineRule="auto"/>
        <w:ind w:left="0"/>
        <w:jc w:val="left"/>
        <w:outlineLvl w:val="0"/>
      </w:pPr>
      <w:bookmarkStart w:name="heading_1" w:id="1"/>
      <w:r>
        <w:rPr>
          <w:rFonts w:eastAsia="等线" w:ascii="Arial" w:cs="Arial" w:hAnsi="Arial"/>
          <w:b w:val="true"/>
          <w:sz w:val="36"/>
        </w:rPr>
        <w:t>数据集生成方法</w:t>
      </w:r>
      <w:bookmarkEnd w:id="1"/>
    </w:p>
    <w:p>
      <w:pPr>
        <w:spacing w:before="120" w:after="120" w:line="288" w:lineRule="auto"/>
        <w:ind w:left="0"/>
        <w:jc w:val="left"/>
      </w:pPr>
      <w:r>
        <w:rPr>
          <w:rFonts w:eastAsia="等线" w:ascii="Arial" w:cs="Arial" w:hAnsi="Arial"/>
          <w:sz w:val="22"/>
        </w:rPr>
        <w:t>论文中主要生成了SiN和HfO这两个数据集：</w:t>
      </w:r>
    </w:p>
    <w:p>
      <w:pPr>
        <w:numPr>
          <w:numId w:val="8"/>
        </w:numPr>
        <w:spacing w:before="120" w:after="120" w:line="288" w:lineRule="auto"/>
        <w:ind w:left="0"/>
        <w:jc w:val="left"/>
      </w:pPr>
      <w:r>
        <w:rPr>
          <w:rFonts w:eastAsia="等线" w:ascii="Arial" w:cs="Arial" w:hAnsi="Arial"/>
          <w:sz w:val="22"/>
        </w:rPr>
        <w:t>SiN数据集:</w:t>
      </w:r>
    </w:p>
    <w:p>
      <w:pPr>
        <w:numPr>
          <w:numId w:val="9"/>
        </w:numPr>
        <w:spacing w:before="120" w:after="120" w:line="288" w:lineRule="auto"/>
        <w:ind w:left="0"/>
        <w:jc w:val="left"/>
      </w:pPr>
      <w:r>
        <w:rPr>
          <w:rFonts w:eastAsia="等线" w:ascii="Arial" w:cs="Arial" w:hAnsi="Arial"/>
          <w:sz w:val="22"/>
        </w:rPr>
        <w:t>通过110个独立的DFT模拟生成,包括各种结构,如非晶态、晶体(α,β和γ)、一维或二维缺陷、表面和孤立的纳米团簇。</w:t>
      </w:r>
    </w:p>
    <w:p>
      <w:pPr>
        <w:numPr>
          <w:numId w:val="10"/>
        </w:numPr>
        <w:spacing w:before="120" w:after="120" w:line="288" w:lineRule="auto"/>
        <w:ind w:left="0"/>
        <w:jc w:val="left"/>
      </w:pPr>
      <w:r>
        <w:rPr>
          <w:rFonts w:eastAsia="等线" w:ascii="Arial" w:cs="Arial" w:hAnsi="Arial"/>
          <w:sz w:val="22"/>
        </w:rPr>
        <w:t>模拟在不同温度、应变和系综下进行,每个单元中的原子数量范围从16到510。</w:t>
      </w:r>
    </w:p>
    <w:p>
      <w:pPr>
        <w:numPr>
          <w:numId w:val="11"/>
        </w:numPr>
        <w:spacing w:before="120" w:after="120" w:line="288" w:lineRule="auto"/>
        <w:ind w:left="0"/>
        <w:jc w:val="left"/>
      </w:pPr>
      <w:r>
        <w:rPr>
          <w:rFonts w:eastAsia="等线" w:ascii="Arial" w:cs="Arial" w:hAnsi="Arial"/>
          <w:sz w:val="22"/>
        </w:rPr>
        <w:t>SiN模拟包括各种SiN化学计量比以及仅含Si和仅含N的结构。</w:t>
      </w:r>
    </w:p>
    <w:p>
      <w:pPr>
        <w:numPr>
          <w:numId w:val="12"/>
        </w:numPr>
        <w:spacing w:before="120" w:after="120" w:line="288" w:lineRule="auto"/>
        <w:ind w:left="0"/>
        <w:jc w:val="left"/>
      </w:pPr>
      <w:r>
        <w:rPr>
          <w:rFonts w:eastAsia="等线" w:ascii="Arial" w:cs="Arial" w:hAnsi="Arial"/>
          <w:sz w:val="22"/>
        </w:rPr>
        <w:t>数据集由这些模拟中以9 fs的采样间隔获得的样本组成。</w:t>
      </w:r>
    </w:p>
    <w:p>
      <w:pPr>
        <w:numPr>
          <w:numId w:val="13"/>
        </w:numPr>
        <w:spacing w:before="120" w:after="120" w:line="288" w:lineRule="auto"/>
        <w:ind w:left="0"/>
        <w:jc w:val="left"/>
      </w:pPr>
      <w:r>
        <w:rPr>
          <w:rFonts w:eastAsia="等线" w:ascii="Arial" w:cs="Arial" w:hAnsi="Arial"/>
          <w:sz w:val="22"/>
        </w:rPr>
        <w:t>为了生成OOD数据集,使用非晶态SiN作为初始结构,并进行熔融-淬火-弛豫模拟。</w:t>
      </w:r>
    </w:p>
    <w:p>
      <w:pPr>
        <w:numPr>
          <w:numId w:val="14"/>
        </w:numPr>
        <w:spacing w:before="120" w:after="120" w:line="288" w:lineRule="auto"/>
        <w:ind w:left="0"/>
        <w:jc w:val="left"/>
      </w:pPr>
      <w:r>
        <w:rPr>
          <w:rFonts w:eastAsia="等线" w:ascii="Arial" w:cs="Arial" w:hAnsi="Arial"/>
          <w:sz w:val="22"/>
        </w:rPr>
        <w:t>HfO数据集:</w:t>
      </w:r>
    </w:p>
    <w:p>
      <w:pPr>
        <w:numPr>
          <w:numId w:val="15"/>
        </w:numPr>
        <w:spacing w:before="120" w:after="120" w:line="288" w:lineRule="auto"/>
        <w:ind w:left="0"/>
        <w:jc w:val="left"/>
      </w:pPr>
      <w:r>
        <w:rPr>
          <w:rFonts w:eastAsia="等线" w:ascii="Arial" w:cs="Arial" w:hAnsi="Arial"/>
          <w:sz w:val="22"/>
        </w:rPr>
        <w:t>使用改进的熔融-淬火-退火(m-MQA)方法创建,其中温度变化。</w:t>
      </w:r>
    </w:p>
    <w:p>
      <w:pPr>
        <w:numPr>
          <w:numId w:val="16"/>
        </w:numPr>
        <w:spacing w:before="120" w:after="120" w:line="288" w:lineRule="auto"/>
        <w:ind w:left="0"/>
        <w:jc w:val="left"/>
      </w:pPr>
      <w:r>
        <w:rPr>
          <w:rFonts w:eastAsia="等线" w:ascii="Arial" w:cs="Arial" w:hAnsi="Arial"/>
          <w:sz w:val="22"/>
        </w:rPr>
        <w:t>为了获得高熵结构,在m-MQA方法中加入了三个5000 K极高温度下的预熔阶段。</w:t>
      </w:r>
    </w:p>
    <w:p>
      <w:pPr>
        <w:numPr>
          <w:numId w:val="17"/>
        </w:numPr>
        <w:spacing w:before="120" w:after="120" w:line="288" w:lineRule="auto"/>
        <w:ind w:left="0"/>
        <w:jc w:val="left"/>
      </w:pPr>
      <w:r>
        <w:rPr>
          <w:rFonts w:eastAsia="等线" w:ascii="Arial" w:cs="Arial" w:hAnsi="Arial"/>
          <w:sz w:val="22"/>
        </w:rPr>
        <w:t>在五种HfO2晶体(即单斜、四方、立方和两种正交结构)以及七个随机生成的结构上,使用m-MQA方法进行了12个MD场景(产生60个模拟条件)。</w:t>
      </w:r>
    </w:p>
    <w:p>
      <w:pPr>
        <w:numPr>
          <w:numId w:val="18"/>
        </w:numPr>
        <w:spacing w:before="120" w:after="120" w:line="288" w:lineRule="auto"/>
        <w:ind w:left="0"/>
        <w:jc w:val="left"/>
      </w:pPr>
      <w:r>
        <w:rPr>
          <w:rFonts w:eastAsia="等线" w:ascii="Arial" w:cs="Arial" w:hAnsi="Arial"/>
          <w:sz w:val="22"/>
        </w:rPr>
        <w:t>每个结构有96个原子(32个Hf和64个O),以保持HfO2化学计量比。</w:t>
      </w:r>
    </w:p>
    <w:p>
      <w:pPr>
        <w:numPr>
          <w:numId w:val="19"/>
        </w:numPr>
        <w:spacing w:before="120" w:after="120" w:line="288" w:lineRule="auto"/>
        <w:ind w:left="0"/>
        <w:jc w:val="left"/>
      </w:pPr>
      <w:r>
        <w:rPr>
          <w:rFonts w:eastAsia="等线" w:ascii="Arial" w:cs="Arial" w:hAnsi="Arial"/>
          <w:sz w:val="22"/>
        </w:rPr>
        <w:t>在HfO2晶体的单元格内随机分布32个Hf和64个O原子,生成随机结构。</w:t>
      </w:r>
    </w:p>
    <w:p>
      <w:pPr>
        <w:numPr>
          <w:numId w:val="20"/>
        </w:numPr>
        <w:spacing w:before="120" w:after="120" w:line="288" w:lineRule="auto"/>
        <w:ind w:left="0"/>
        <w:jc w:val="left"/>
      </w:pPr>
      <w:r>
        <w:rPr>
          <w:rFonts w:eastAsia="等线" w:ascii="Arial" w:cs="Arial" w:hAnsi="Arial"/>
          <w:sz w:val="22"/>
        </w:rPr>
        <w:t>在进行的12次模拟中,10个结构(五个晶体和五个随机结构)的模拟和其余两个随机结构分别用作ID和OOD数据集的来源。</w:t>
      </w:r>
    </w:p>
    <w:p>
      <w:pPr>
        <w:numPr>
          <w:numId w:val="21"/>
        </w:numPr>
        <w:spacing w:before="120" w:after="120" w:line="288" w:lineRule="auto"/>
        <w:ind w:left="0"/>
        <w:jc w:val="left"/>
      </w:pPr>
      <w:r>
        <w:rPr>
          <w:rFonts w:eastAsia="等线" w:ascii="Arial" w:cs="Arial" w:hAnsi="Arial"/>
          <w:sz w:val="22"/>
        </w:rPr>
        <w:t>在三个预熔和熔化阶段,以9 fs的采样间隔从每个源采样快照,在淬火和退火阶段,采样间隔为12 fs。</w:t>
      </w:r>
    </w:p>
    <w:p>
      <w:pPr>
        <w:spacing w:before="120" w:after="120" w:line="288" w:lineRule="auto"/>
        <w:ind w:left="0"/>
        <w:jc w:val="left"/>
      </w:pPr>
    </w:p>
    <w:p>
      <w:pPr>
        <w:pStyle w:val="1"/>
        <w:spacing w:before="380" w:after="140" w:line="288" w:lineRule="auto"/>
        <w:ind w:left="0"/>
        <w:jc w:val="left"/>
        <w:outlineLvl w:val="0"/>
      </w:pPr>
      <w:bookmarkStart w:name="heading_2" w:id="2"/>
      <w:r>
        <w:rPr>
          <w:rFonts w:eastAsia="等线" w:ascii="Arial" w:cs="Arial" w:hAnsi="Arial"/>
          <w:b w:val="true"/>
          <w:sz w:val="36"/>
        </w:rPr>
        <w:t>评测指标</w:t>
      </w:r>
      <w:bookmarkEnd w:id="2"/>
    </w:p>
    <w:p>
      <w:pPr>
        <w:numPr>
          <w:numId w:val="22"/>
        </w:numPr>
        <w:spacing w:before="120" w:after="120" w:line="288" w:lineRule="auto"/>
        <w:ind w:left="0"/>
        <w:jc w:val="left"/>
      </w:pPr>
      <w:r>
        <w:rPr>
          <w:rFonts w:eastAsia="等线" w:ascii="Arial" w:cs="Arial" w:hAnsi="Arial"/>
          <w:sz w:val="22"/>
        </w:rPr>
        <w:t>受力和能量</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原子能量和力的均方根误差（RMSE）之和，用 EF 指标表示</w:t>
            </w:r>
          </w:p>
        </w:tc>
      </w:tr>
    </w:tbl>
    <w:p>
      <w:pPr>
        <w:numPr>
          <w:numId w:val="23"/>
        </w:numPr>
        <w:spacing w:before="120" w:after="120" w:line="288" w:lineRule="auto"/>
        <w:ind w:left="0"/>
        <w:jc w:val="left"/>
      </w:pPr>
      <w:r>
        <w:rPr>
          <w:rFonts w:eastAsia="等线" w:ascii="Arial" w:cs="Arial" w:hAnsi="Arial"/>
          <w:sz w:val="22"/>
        </w:rPr>
        <w:t>损失函数：</w:t>
      </w:r>
    </w:p>
    <w:p>
      <w:pPr>
        <w:spacing w:before="120" w:after="120" w:line="288" w:lineRule="auto"/>
        <w:ind w:left="0"/>
        <w:jc w:val="left"/>
      </w:pPr>
      <w:r>
        <w:rPr>
          <w:rFonts w:eastAsia="等线" w:ascii="Arial" w:cs="Arial" w:hAnsi="Arial"/>
          <w:sz w:val="22"/>
        </w:rPr>
      </w:r>
      <m:oMath>
        <m:r>
          <w:rPr>
            <w:rFonts w:ascii="Cambria Math" w:hAnsi="Cambria Math"/>
          </w:rPr>
          <w:t>\mathcal{L}_{\text {tot }}=\frac{\lambda_e}{|B|} \sum_{i \in B} \mathcal{L}_E\left(\frac{E_i}{n_i}, \frac{\hat{E}_i}{n_i}\right)+\frac{\lambda_f}{|B|} \sum_{i \in B} \mathcal{L}_{\mathbf{F}}\left(\mathbf{F}_i, \hat{\mathbf{F}}_i\right)
</w:t>
        </m:r>
      </m:oMath>
    </w:p>
    <w:p>
      <w:pPr>
        <w:spacing w:before="120" w:after="120" w:line="288" w:lineRule="auto"/>
        <w:ind w:left="0"/>
        <w:jc w:val="left"/>
      </w:pPr>
    </w:p>
    <w:p>
      <w:pPr>
        <w:pStyle w:val="1"/>
        <w:spacing w:before="380" w:after="140" w:line="288" w:lineRule="auto"/>
        <w:ind w:left="0"/>
        <w:jc w:val="left"/>
        <w:outlineLvl w:val="0"/>
      </w:pPr>
      <w:bookmarkStart w:name="heading_3" w:id="3"/>
      <w:r>
        <w:rPr>
          <w:rFonts w:eastAsia="等线" w:ascii="Arial" w:cs="Arial" w:hAnsi="Arial"/>
          <w:b w:val="true"/>
          <w:sz w:val="36"/>
        </w:rPr>
        <w:t>Benchmark方法</w:t>
      </w:r>
      <w:bookmarkEnd w:id="3"/>
    </w:p>
    <w:p>
      <w:pPr>
        <w:spacing w:before="120" w:after="120" w:line="288" w:lineRule="auto"/>
        <w:ind w:left="0"/>
        <w:jc w:val="left"/>
      </w:pPr>
      <w:r>
        <w:rPr>
          <w:rFonts w:eastAsia="等线" w:ascii="Arial" w:cs="Arial" w:hAnsi="Arial"/>
          <w:sz w:val="22"/>
        </w:rPr>
        <w:t>benchmark使用了以下10个模型进行训练测试（包括基于分子描述符的模型和基于图神经网络的模型）:</w:t>
      </w:r>
    </w:p>
    <w:p>
      <w:pPr>
        <w:numPr>
          <w:numId w:val="24"/>
        </w:numPr>
        <w:spacing w:before="120" w:after="120" w:line="288" w:lineRule="auto"/>
        <w:ind w:left="0"/>
        <w:jc w:val="left"/>
      </w:pPr>
      <w:r>
        <w:rPr>
          <w:rFonts w:eastAsia="等线" w:ascii="Arial" w:cs="Arial" w:hAnsi="Arial"/>
          <w:sz w:val="22"/>
        </w:rPr>
        <w:t>BPNN (Back-Propagation Neural Network)</w:t>
      </w:r>
    </w:p>
    <w:p>
      <w:pPr>
        <w:numPr>
          <w:numId w:val="25"/>
        </w:numPr>
        <w:spacing w:before="120" w:after="120" w:line="288" w:lineRule="auto"/>
        <w:ind w:left="0"/>
        <w:jc w:val="left"/>
      </w:pPr>
      <w:r>
        <w:rPr>
          <w:rFonts w:eastAsia="等线" w:ascii="Arial" w:cs="Arial" w:hAnsi="Arial"/>
          <w:sz w:val="22"/>
        </w:rPr>
        <w:t>DPA-1 ( Potential - Atomic One)</w:t>
      </w:r>
    </w:p>
    <w:p>
      <w:pPr>
        <w:numPr>
          <w:numId w:val="26"/>
        </w:numPr>
        <w:spacing w:before="120" w:after="120" w:line="288" w:lineRule="auto"/>
        <w:ind w:left="0"/>
        <w:jc w:val="left"/>
      </w:pPr>
      <w:r>
        <w:rPr>
          <w:rFonts w:eastAsia="等线" w:ascii="Arial" w:cs="Arial" w:hAnsi="Arial"/>
          <w:sz w:val="22"/>
        </w:rPr>
        <w:t>SchNet</w:t>
      </w:r>
    </w:p>
    <w:p>
      <w:pPr>
        <w:numPr>
          <w:numId w:val="27"/>
        </w:numPr>
        <w:spacing w:before="120" w:after="120" w:line="288" w:lineRule="auto"/>
        <w:ind w:left="0"/>
        <w:jc w:val="left"/>
      </w:pPr>
      <w:r>
        <w:rPr>
          <w:rFonts w:eastAsia="等线" w:ascii="Arial" w:cs="Arial" w:hAnsi="Arial"/>
          <w:sz w:val="22"/>
        </w:rPr>
        <w:t>DimeNet++</w:t>
      </w:r>
    </w:p>
    <w:p>
      <w:pPr>
        <w:numPr>
          <w:numId w:val="28"/>
        </w:numPr>
        <w:spacing w:before="120" w:after="120" w:line="288" w:lineRule="auto"/>
        <w:ind w:left="0"/>
        <w:jc w:val="left"/>
      </w:pPr>
      <w:r>
        <w:rPr>
          <w:rFonts w:eastAsia="等线" w:ascii="Arial" w:cs="Arial" w:hAnsi="Arial"/>
          <w:sz w:val="22"/>
        </w:rPr>
        <w:t>GemNet-T/-dT</w:t>
      </w:r>
    </w:p>
    <w:p>
      <w:pPr>
        <w:numPr>
          <w:numId w:val="29"/>
        </w:numPr>
        <w:spacing w:before="120" w:after="120" w:line="288" w:lineRule="auto"/>
        <w:ind w:left="0"/>
        <w:jc w:val="left"/>
      </w:pPr>
      <w:r>
        <w:rPr>
          <w:rFonts w:eastAsia="等线" w:ascii="Arial" w:cs="Arial" w:hAnsi="Arial"/>
          <w:sz w:val="22"/>
        </w:rPr>
        <w:t>NequIP</w:t>
      </w:r>
    </w:p>
    <w:p>
      <w:pPr>
        <w:numPr>
          <w:numId w:val="30"/>
        </w:numPr>
        <w:spacing w:before="120" w:after="120" w:line="288" w:lineRule="auto"/>
        <w:ind w:left="0"/>
        <w:jc w:val="left"/>
      </w:pPr>
      <w:r>
        <w:rPr>
          <w:rFonts w:eastAsia="等线" w:ascii="Arial" w:cs="Arial" w:hAnsi="Arial"/>
          <w:sz w:val="22"/>
        </w:rPr>
        <w:t>Allegro</w:t>
      </w:r>
    </w:p>
    <w:p>
      <w:pPr>
        <w:numPr>
          <w:numId w:val="31"/>
        </w:numPr>
        <w:spacing w:before="120" w:after="120" w:line="288" w:lineRule="auto"/>
        <w:ind w:left="0"/>
        <w:jc w:val="left"/>
      </w:pPr>
      <w:r>
        <w:rPr>
          <w:rFonts w:eastAsia="等线" w:ascii="Arial" w:cs="Arial" w:hAnsi="Arial"/>
          <w:sz w:val="22"/>
        </w:rPr>
        <w:t>MACE</w:t>
      </w:r>
    </w:p>
    <w:p>
      <w:pPr>
        <w:numPr>
          <w:numId w:val="32"/>
        </w:numPr>
        <w:spacing w:before="120" w:after="120" w:line="288" w:lineRule="auto"/>
        <w:ind w:left="0"/>
        <w:jc w:val="left"/>
      </w:pPr>
      <w:r>
        <w:rPr>
          <w:rFonts w:eastAsia="等线" w:ascii="Arial" w:cs="Arial" w:hAnsi="Arial"/>
          <w:sz w:val="22"/>
        </w:rPr>
        <w:t>SCN (Spectral Chemical Network)</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在这个基准测试中,研究者探索了不同的归一化略对机器学习力场(MLFF)模型训练结果的影响。他们使用了三种不同的策略:每原子归一化、每原子中心化和不归一化。 通过比较使用这三种归一化策略训练的模型的错误,他们发现即使在OOD(out-of-distribution)错误方面,差异也很小。这表明,即使不采用归一化,MLFF模型中的内部表示也可以与每原子值很好地对齐,并用于模拟与训练数据集中不同大小的结构。</w:t>
      </w:r>
    </w:p>
    <w:p>
      <w:pPr>
        <w:spacing w:before="120" w:after="120" w:line="288" w:lineRule="auto"/>
        <w:ind w:left="0"/>
        <w:jc w:val="center"/>
      </w:pPr>
      <w:r>
        <w:drawing>
          <wp:inline distT="0" distR="0" distB="0" distL="0">
            <wp:extent cx="5257800" cy="31242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12420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4" w:id="4"/>
      <w:r>
        <w:rPr>
          <w:rFonts w:eastAsia="等线" w:ascii="Arial" w:cs="Arial" w:hAnsi="Arial"/>
          <w:b w:val="true"/>
          <w:sz w:val="32"/>
        </w:rPr>
        <w:t>两个训练因素对机器学习力场(MLFF)模型能的影响</w:t>
      </w:r>
      <w:bookmarkEnd w:id="4"/>
    </w:p>
    <w:p>
      <w:pPr>
        <w:spacing w:before="120" w:after="120" w:line="288" w:lineRule="auto"/>
        <w:ind w:left="0"/>
        <w:jc w:val="center"/>
      </w:pPr>
      <w:r>
        <w:drawing>
          <wp:inline distT="0" distR="0" distB="0" distL="0">
            <wp:extent cx="5257800" cy="14001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14001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探讨了两个训练因素对机器学习力场(MLFF)模型能的影响:基于MSE和MAE的损失函数,以及力损失系数(λf)。</w:t>
      </w:r>
    </w:p>
    <w:p>
      <w:pPr>
        <w:numPr>
          <w:numId w:val="33"/>
        </w:numPr>
        <w:spacing w:before="120" w:after="120" w:line="288" w:lineRule="auto"/>
        <w:ind w:left="0"/>
        <w:jc w:val="left"/>
      </w:pPr>
      <w:r>
        <w:rPr>
          <w:rFonts w:eastAsia="等线" w:ascii="Arial" w:cs="Arial" w:hAnsi="Arial"/>
          <w:sz w:val="22"/>
        </w:rPr>
        <w:t>基于MSE vs. 基于MAE的损失函数: 研究者使用基于MAE的损失函数训练模型,并将其与使用基于MSE损失函数训练的模型进行了比较。结果表明,对于SiN数据集,基于MAE的损失函数明显优于基于MSE的损失函数。然而,对于HfO数据集,优劣难以确定,大多数情况下,EF指标的差异较小。值得注意的是,Allegro在HfO的OOD(out-of-distribution)集上性能显著下降,而MACE的精度得到提高。</w:t>
      </w:r>
    </w:p>
    <w:p>
      <w:pPr>
        <w:numPr>
          <w:numId w:val="34"/>
        </w:numPr>
        <w:spacing w:before="120" w:after="120" w:line="288" w:lineRule="auto"/>
        <w:ind w:left="0"/>
        <w:jc w:val="left"/>
      </w:pPr>
      <w:r>
        <w:rPr>
          <w:rFonts w:eastAsia="等线" w:ascii="Arial" w:cs="Arial" w:hAnsi="Arial"/>
          <w:sz w:val="22"/>
        </w:rPr>
        <w:t>力损失系数(λf)的影响: 对于所有模型,力误差在EF指标方面占主导地位。因此,如果通过改变力系数λf设计训练损失以减少力损失,测试力误差也会相应减少。为了研究λf的影响,研究者使用基于MAE的损失函数训练了GemNet-dT和MACE,其中λf的范围从0.1到10。结果表明,与λf=1相比,使用λf&lt;1训练的模型误差增加。然而,MACE在HfO上的结果表明,增加λf并不总是导致力误差的减少,λf&gt;10的结果可能会更差。因此,在超参数调整中探索合适的λf时,建议在1≤λf&lt;10的范围内训练MLFF模型。</w:t>
      </w:r>
    </w:p>
    <w:p>
      <w:pPr>
        <w:spacing w:before="120" w:after="120" w:line="288" w:lineRule="auto"/>
        <w:ind w:left="0"/>
        <w:jc w:val="left"/>
      </w:pPr>
    </w:p>
    <w:p>
      <w:pPr>
        <w:pStyle w:val="2"/>
        <w:spacing w:before="320" w:after="120" w:line="288" w:lineRule="auto"/>
        <w:ind w:left="0"/>
        <w:jc w:val="left"/>
        <w:outlineLvl w:val="1"/>
      </w:pPr>
      <w:bookmarkStart w:name="heading_5" w:id="5"/>
      <w:r>
        <w:rPr>
          <w:rFonts w:eastAsia="等线" w:ascii="Arial" w:cs="Arial" w:hAnsi="Arial"/>
          <w:b w:val="true"/>
          <w:sz w:val="32"/>
        </w:rPr>
        <w:t>推理时间和精度之间的权衡</w:t>
      </w:r>
      <w:bookmarkEnd w:id="5"/>
    </w:p>
    <w:p>
      <w:pPr>
        <w:spacing w:before="120" w:after="120" w:line="288" w:lineRule="auto"/>
        <w:ind w:left="0"/>
        <w:jc w:val="left"/>
      </w:pPr>
      <w:r>
        <w:rPr>
          <w:rFonts w:eastAsia="等线" w:ascii="Arial" w:cs="Arial" w:hAnsi="Arial"/>
          <w:sz w:val="22"/>
        </w:rPr>
        <w:t>这一部分主要探讨了模型的推理时间和精度之间的权衡,以及训练数据量对模型性能的影响。</w:t>
      </w:r>
    </w:p>
    <w:p>
      <w:pPr>
        <w:numPr>
          <w:numId w:val="35"/>
        </w:numPr>
        <w:spacing w:before="120" w:after="120" w:line="288" w:lineRule="auto"/>
        <w:ind w:left="0"/>
        <w:jc w:val="left"/>
      </w:pPr>
      <w:r>
        <w:rPr>
          <w:rFonts w:eastAsia="等线" w:ascii="Arial" w:cs="Arial" w:hAnsi="Arial"/>
          <w:sz w:val="22"/>
        </w:rPr>
        <w:t>推理时与精度的权衡（模型大小的影响）: 研究者绘制了每个模型在HfO测试集上的推理时间和EF指标之间的帕累托图(Pareto plot),这两个因素呈现出权衡关系。他们在V100 GPU上使用批量大小为1的情况下对HfO测试集进行了五次推理,模拟了模拟过程中的逐步过程。为了进一步探索这种权衡,他们训练了特征维度不同的模型,相对变化范围从{0.25x, 0.5x, 2x}中选择。</w:t>
      </w:r>
    </w:p>
    <w:p>
      <w:pPr>
        <w:spacing w:before="120" w:after="120" w:line="288" w:lineRule="auto"/>
        <w:ind w:left="0"/>
        <w:jc w:val="center"/>
      </w:pPr>
      <w:r>
        <w:drawing>
          <wp:inline distT="0" distR="0" distB="0" distL="0">
            <wp:extent cx="5257800" cy="19335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19335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结果表明,所有GemNet-dT模型都位于帕累托前沿曲线上。与能量类似,GemNet-dT仅通过GNN中的前向过程预测力,而不是在MLFF中的常规计算,即力是通过能量对原子位置的导数计算得出,以满足能量守恒定律。GemNet-dT的直接力预测不满足能量守恒定律,导致其在性能基准测试中的结果明显不如GemNet-T。然而,GemNet-T的推理时间是GemNet-dT的2.2倍,且需要更大的GPU内存,这意味着GemNet-dT更适合通过在更短的时间内处理更多原子来进行大规模模拟。因此,考虑到上述权衡,基于直接力预测的模型开发方法是一个很有前途的方向。尽管SchNet速度最快,但它产生的误差最高,因此可能会产生不可靠的模拟结果。同样采用直接力预测的SCN实现了与GemNet-dT相当的EF指标;然而,其计算需求高出10倍以上,使其不适合模拟。除了GemNet-dT,Allegro和MACE显示了由虚线表示的帕累托前沿结果。如果解决了测试集和OOD集之间EF指标的显著差异,它们可以用于需要满足能量守恒定律的模拟中。</w:t>
      </w:r>
    </w:p>
    <w:p>
      <w:pPr>
        <w:spacing w:before="120" w:after="120" w:line="288" w:lineRule="auto"/>
        <w:ind w:left="0"/>
        <w:jc w:val="left"/>
      </w:pPr>
    </w:p>
    <w:p>
      <w:pPr>
        <w:numPr>
          <w:numId w:val="36"/>
        </w:numPr>
        <w:spacing w:before="120" w:after="120" w:line="288" w:lineRule="auto"/>
        <w:ind w:left="0"/>
        <w:jc w:val="left"/>
      </w:pPr>
      <w:r>
        <w:rPr>
          <w:rFonts w:eastAsia="等线" w:ascii="Arial" w:cs="Arial" w:hAnsi="Arial"/>
          <w:sz w:val="22"/>
        </w:rPr>
        <w:t>数据量对模型性能的影响（数据集大小的影响）: 研究者还展示了数据量的影响,这可能有助于MLFF研究人员采取培训策略。他们从HfO训练集中随机抽取20%、40%、60%和80%的快照,并使用这些子集训练模型。结果表明,对于所有模型,训练集、测试集和OOD集的EF指标随着训练集大小的增加而降低。值得注意的是,当使用20%的训练数据时,大多数模型在训练集上的EF指标优于测试集,这表明过拟合。然而,即使只使用20%的训练数据,GemNet-dT和MACE在测试集上的性能也优于其他模型。</w:t>
      </w:r>
    </w:p>
    <w:p>
      <w:pPr>
        <w:spacing w:before="120" w:after="120" w:line="288" w:lineRule="auto"/>
        <w:ind w:left="0"/>
        <w:jc w:val="center"/>
      </w:pPr>
      <w:r>
        <w:drawing>
          <wp:inline distT="0" distR="0" distB="0" distL="0">
            <wp:extent cx="5257800" cy="25050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2505075"/>
                    </a:xfrm>
                    <a:prstGeom prst="rect">
                      <a:avLst/>
                    </a:prstGeom>
                  </pic:spPr>
                </pic:pic>
              </a:graphicData>
            </a:graphic>
          </wp:inline>
        </w:drawing>
      </w:r>
    </w:p>
    <w:p>
      <w:pPr>
        <w:spacing w:before="120" w:after="120" w:line="288" w:lineRule="auto"/>
        <w:ind w:left="0"/>
        <w:jc w:val="left"/>
      </w:pPr>
    </w:p>
    <w:p>
      <w:pPr>
        <w:pStyle w:val="2"/>
        <w:spacing w:before="320" w:after="120" w:line="288" w:lineRule="auto"/>
        <w:ind w:left="0"/>
        <w:jc w:val="left"/>
        <w:outlineLvl w:val="1"/>
      </w:pPr>
      <w:bookmarkStart w:name="heading_6" w:id="6"/>
      <w:r>
        <w:rPr>
          <w:rFonts w:eastAsia="等线" w:ascii="Arial" w:cs="Arial" w:hAnsi="Arial"/>
          <w:b w:val="true"/>
          <w:sz w:val="32"/>
        </w:rPr>
        <w:t>预测材料性质方面的准确性和可靠性</w:t>
      </w:r>
      <w:bookmarkEnd w:id="6"/>
    </w:p>
    <w:p>
      <w:pPr>
        <w:spacing w:before="120" w:after="120" w:line="288" w:lineRule="auto"/>
        <w:ind w:left="0"/>
        <w:jc w:val="left"/>
      </w:pPr>
    </w:p>
    <w:p>
      <w:pPr>
        <w:spacing w:before="120" w:after="120" w:line="288" w:lineRule="auto"/>
        <w:ind w:left="0"/>
        <w:jc w:val="left"/>
      </w:pPr>
      <w:r>
        <w:rPr>
          <w:rFonts w:eastAsia="等线" w:ascii="Arial" w:cs="Arial" w:hAnsi="Arial"/>
          <w:sz w:val="22"/>
        </w:rPr>
        <w:t>这一部分主要介绍了用于评估机器学习力场(MLFF)模型在预测材料性质方面的准确性和可靠性的一组指标,并讨论了基于这些指标的模型比较结果。</w:t>
      </w:r>
    </w:p>
    <w:p>
      <w:pPr>
        <w:pStyle w:val="3"/>
        <w:spacing w:before="300" w:after="120" w:line="288" w:lineRule="auto"/>
        <w:ind w:left="0"/>
        <w:jc w:val="left"/>
        <w:outlineLvl w:val="2"/>
      </w:pPr>
      <w:bookmarkStart w:name="heading_7" w:id="7"/>
      <w:r>
        <w:rPr>
          <w:rFonts w:eastAsia="等线" w:ascii="Arial" w:cs="Arial" w:hAnsi="Arial"/>
          <w:b w:val="true"/>
          <w:sz w:val="30"/>
        </w:rPr>
        <w:t>动态指标:</w:t>
      </w:r>
      <w:bookmarkEnd w:id="7"/>
    </w:p>
    <w:p>
      <w:pPr>
        <w:numPr>
          <w:numId w:val="37"/>
        </w:numPr>
        <w:spacing w:before="120" w:after="120" w:line="288" w:lineRule="auto"/>
        <w:ind w:left="0"/>
        <w:jc w:val="left"/>
      </w:pPr>
      <w:r>
        <w:rPr>
          <w:rFonts w:eastAsia="等线" w:ascii="Arial" w:cs="Arial" w:hAnsi="Arial"/>
          <w:sz w:val="22"/>
        </w:rPr>
        <w:t>径向分布函数(RDF):捕捉相对于所选参考粒子距离的密度变化。</w:t>
      </w:r>
    </w:p>
    <w:p>
      <w:pPr>
        <w:numPr>
          <w:numId w:val="38"/>
        </w:numPr>
        <w:spacing w:before="120" w:after="120" w:line="288" w:lineRule="auto"/>
        <w:ind w:left="0"/>
        <w:jc w:val="left"/>
      </w:pPr>
      <w:r>
        <w:rPr>
          <w:rFonts w:eastAsia="等线" w:ascii="Arial" w:cs="Arial" w:hAnsi="Arial"/>
          <w:sz w:val="22"/>
        </w:rPr>
        <w:t>角度分布函数(ADF):表征围绕参考粒子的粒子的角度分布。 RDF和ADF是从高温分子动力学(MD)轨迹中得出的,用于评估模型在受高热能引起的湍流或活跃运动影响的不同原子环境中的稳定性。</w:t>
      </w:r>
    </w:p>
    <w:p>
      <w:pPr>
        <w:spacing w:before="120" w:after="120" w:line="288" w:lineRule="auto"/>
        <w:ind w:left="0"/>
        <w:jc w:val="center"/>
      </w:pPr>
      <w:r>
        <w:drawing>
          <wp:inline distT="0" distR="0" distB="0" distL="0">
            <wp:extent cx="5257800" cy="401002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4010025"/>
                    </a:xfrm>
                    <a:prstGeom prst="rect">
                      <a:avLst/>
                    </a:prstGeom>
                  </pic:spPr>
                </pic:pic>
              </a:graphicData>
            </a:graphic>
          </wp:inline>
        </w:drawing>
      </w:r>
    </w:p>
    <w:p>
      <w:pPr>
        <w:pStyle w:val="3"/>
        <w:spacing w:before="300" w:after="120" w:line="288" w:lineRule="auto"/>
        <w:ind w:left="0"/>
        <w:jc w:val="left"/>
        <w:outlineLvl w:val="2"/>
      </w:pPr>
      <w:bookmarkStart w:name="heading_8" w:id="8"/>
      <w:r>
        <w:rPr>
          <w:rFonts w:eastAsia="等线" w:ascii="Arial" w:cs="Arial" w:hAnsi="Arial"/>
          <w:b w:val="true"/>
          <w:sz w:val="30"/>
        </w:rPr>
        <w:t>静态指标:</w:t>
      </w:r>
      <w:bookmarkEnd w:id="8"/>
    </w:p>
    <w:p>
      <w:pPr>
        <w:numPr>
          <w:numId w:val="39"/>
        </w:numPr>
        <w:spacing w:before="120" w:after="120" w:line="288" w:lineRule="auto"/>
        <w:ind w:left="0"/>
        <w:jc w:val="left"/>
      </w:pPr>
      <w:r>
        <w:rPr>
          <w:rFonts w:eastAsia="等线" w:ascii="Arial" w:cs="Arial" w:hAnsi="Arial"/>
          <w:sz w:val="22"/>
        </w:rPr>
        <w:t>体积模量(B0):表示薄膜对压力和外部应力的响应,表明其灵活性、硬度和抵抗体积变化的能力。</w:t>
      </w:r>
    </w:p>
    <w:p>
      <w:pPr>
        <w:numPr>
          <w:numId w:val="40"/>
        </w:numPr>
        <w:spacing w:before="120" w:after="120" w:line="288" w:lineRule="auto"/>
        <w:ind w:left="0"/>
        <w:jc w:val="left"/>
      </w:pPr>
      <w:r>
        <w:rPr>
          <w:rFonts w:eastAsia="等线" w:ascii="Arial" w:cs="Arial" w:hAnsi="Arial"/>
          <w:sz w:val="22"/>
        </w:rPr>
        <w:t>平衡体积(V0):有助于确定薄膜的厚度-残余应力关系,使其状态(应变或松弛)得到评估,并优化生长过程。</w:t>
      </w:r>
    </w:p>
    <w:p>
      <w:pPr>
        <w:numPr>
          <w:numId w:val="41"/>
        </w:numPr>
        <w:spacing w:before="120" w:after="120" w:line="288" w:lineRule="auto"/>
        <w:ind w:left="0"/>
        <w:jc w:val="left"/>
      </w:pPr>
      <w:r>
        <w:rPr>
          <w:rFonts w:eastAsia="等线" w:ascii="Arial" w:cs="Arial" w:hAnsi="Arial"/>
          <w:sz w:val="22"/>
        </w:rPr>
        <w:t>势能曲线(PEC):评估在稀疏原子环境中具有少量原子的系统,这与固态结构数据集中遇到的密集周期性边界条件不同。</w:t>
      </w:r>
    </w:p>
    <w:p>
      <w:pPr>
        <w:spacing w:before="120" w:after="120" w:line="288" w:lineRule="auto"/>
        <w:ind w:left="0"/>
        <w:jc w:val="center"/>
      </w:pPr>
      <w:r>
        <w:drawing>
          <wp:inline distT="0" distR="0" distB="0" distL="0">
            <wp:extent cx="5257800" cy="364807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3648075"/>
                    </a:xfrm>
                    <a:prstGeom prst="rect">
                      <a:avLst/>
                    </a:prstGeom>
                  </pic:spPr>
                </pic:pic>
              </a:graphicData>
            </a:graphic>
          </wp:inline>
        </w:drawing>
      </w:r>
    </w:p>
    <w:p>
      <w:pPr>
        <w:spacing w:before="120" w:after="120" w:line="288" w:lineRule="auto"/>
        <w:ind w:left="0"/>
        <w:jc w:val="left"/>
      </w:pPr>
    </w:p>
    <w:p>
      <w:pPr>
        <w:numPr>
          <w:numId w:val="42"/>
        </w:numPr>
        <w:spacing w:before="120" w:after="120" w:line="288" w:lineRule="auto"/>
        <w:ind w:left="0"/>
        <w:jc w:val="left"/>
      </w:pPr>
      <w:r>
        <w:rPr>
          <w:rFonts w:eastAsia="等线" w:ascii="Arial" w:cs="Arial" w:hAnsi="Arial"/>
          <w:sz w:val="22"/>
        </w:rPr>
        <w:t>结果与讨论:</w:t>
      </w:r>
    </w:p>
    <w:p>
      <w:pPr>
        <w:numPr>
          <w:numId w:val="43"/>
        </w:numPr>
        <w:spacing w:before="120" w:after="120" w:line="288" w:lineRule="auto"/>
        <w:ind w:left="453"/>
        <w:jc w:val="left"/>
      </w:pPr>
      <w:r>
        <w:rPr>
          <w:rFonts w:eastAsia="等线" w:ascii="Arial" w:cs="Arial" w:hAnsi="Arial"/>
          <w:sz w:val="22"/>
        </w:rPr>
        <w:t>总体而言,对于SiN和HfO,GemNet-T、NequIP、MACE和SCN取得了突出的结果。</w:t>
      </w:r>
    </w:p>
    <w:p>
      <w:pPr>
        <w:numPr>
          <w:numId w:val="44"/>
        </w:numPr>
        <w:spacing w:before="120" w:after="120" w:line="288" w:lineRule="auto"/>
        <w:ind w:left="453"/>
        <w:jc w:val="left"/>
      </w:pPr>
      <w:r>
        <w:rPr>
          <w:rFonts w:eastAsia="等线" w:ascii="Arial" w:cs="Arial" w:hAnsi="Arial"/>
          <w:sz w:val="22"/>
        </w:rPr>
        <w:t>基于描述符的模型BPNN和DPA-1在两个数据集上表现中等。</w:t>
      </w:r>
    </w:p>
    <w:p>
      <w:pPr>
        <w:numPr>
          <w:numId w:val="45"/>
        </w:numPr>
        <w:spacing w:before="120" w:after="120" w:line="288" w:lineRule="auto"/>
        <w:ind w:left="453"/>
        <w:jc w:val="left"/>
      </w:pPr>
      <w:r>
        <w:rPr>
          <w:rFonts w:eastAsia="等线" w:ascii="Arial" w:cs="Arial" w:hAnsi="Arial"/>
          <w:sz w:val="22"/>
        </w:rPr>
        <w:t>SchNet在两个数据集的B0方面表现出显著的不匹配,并且泛化性能最差。</w:t>
      </w:r>
    </w:p>
    <w:p>
      <w:pPr>
        <w:numPr>
          <w:numId w:val="46"/>
        </w:numPr>
        <w:spacing w:before="120" w:after="120" w:line="288" w:lineRule="auto"/>
        <w:ind w:left="453"/>
        <w:jc w:val="left"/>
      </w:pPr>
      <w:r>
        <w:rPr>
          <w:rFonts w:eastAsia="等线" w:ascii="Arial" w:cs="Arial" w:hAnsi="Arial"/>
          <w:sz w:val="22"/>
        </w:rPr>
        <w:t>DimeNet++和GemNet-dT在HfO的EF指标方面表现出色,但在OOD的模拟指标方面表现不一致,表明现有评估方法的局限性,强调需要与材料模拟和性质相关的评估指标。</w:t>
      </w:r>
    </w:p>
    <w:p>
      <w:pPr>
        <w:numPr>
          <w:numId w:val="47"/>
        </w:numPr>
        <w:spacing w:before="120" w:after="120" w:line="288" w:lineRule="auto"/>
        <w:ind w:left="453"/>
        <w:jc w:val="left"/>
      </w:pPr>
      <w:r>
        <w:rPr>
          <w:rFonts w:eastAsia="等线" w:ascii="Arial" w:cs="Arial" w:hAnsi="Arial"/>
          <w:sz w:val="22"/>
        </w:rPr>
        <w:t>与SiN相比,HfO只使用一个成分比(1:2)生成,因此评估OOD性能相对具有挑战性。</w:t>
      </w:r>
    </w:p>
    <w:p>
      <w:pPr>
        <w:numPr>
          <w:numId w:val="48"/>
        </w:numPr>
        <w:spacing w:before="120" w:after="120" w:line="288" w:lineRule="auto"/>
        <w:ind w:left="453"/>
        <w:jc w:val="left"/>
      </w:pPr>
      <w:r>
        <w:rPr>
          <w:rFonts w:eastAsia="等线" w:ascii="Arial" w:cs="Arial" w:hAnsi="Arial"/>
          <w:sz w:val="22"/>
        </w:rPr>
        <w:t>OOD的EF指标与模拟指标的皮尔逊相关性高于ID评估的EF指标,表明模拟指标可以作为评估MLFF模型外推性能的指南。</w:t>
      </w:r>
    </w:p>
    <w:p>
      <w:pPr>
        <w:numPr>
          <w:numId w:val="49"/>
        </w:numPr>
        <w:spacing w:before="120" w:after="120" w:line="288" w:lineRule="auto"/>
        <w:ind w:left="453"/>
        <w:jc w:val="left"/>
      </w:pPr>
      <w:r>
        <w:rPr>
          <w:rFonts w:eastAsia="等线" w:ascii="Arial" w:cs="Arial" w:hAnsi="Arial"/>
          <w:sz w:val="22"/>
        </w:rPr>
        <w:t>Allegro在HfOOOD评估中得分为0,原因是高温模拟过程中不真实的原子碰撞导致模拟中断。</w:t>
      </w:r>
    </w:p>
    <w:sectPr>
      <w:footerReference w:type="default" r:id="rId3"/>
      <w:headerReference w:type="default" r:id="rId11"/>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53611">
    <w:lvl>
      <w:numFmt w:val="bullet"/>
      <w:suff w:val="tab"/>
      <w:lvlText w:val="•"/>
      <w:rPr>
        <w:color w:val="3370ff"/>
      </w:rPr>
    </w:lvl>
  </w:abstractNum>
  <w:abstractNum w:abstractNumId="353612">
    <w:lvl>
      <w:numFmt w:val="bullet"/>
      <w:suff w:val="tab"/>
      <w:lvlText w:val="•"/>
      <w:rPr>
        <w:color w:val="3370ff"/>
      </w:rPr>
    </w:lvl>
  </w:abstractNum>
  <w:abstractNum w:abstractNumId="353613">
    <w:lvl>
      <w:numFmt w:val="bullet"/>
      <w:suff w:val="tab"/>
      <w:lvlText w:val="•"/>
      <w:rPr>
        <w:color w:val="3370ff"/>
      </w:rPr>
    </w:lvl>
  </w:abstractNum>
  <w:abstractNum w:abstractNumId="353614">
    <w:lvl>
      <w:start w:val="1"/>
      <w:numFmt w:val="decimal"/>
      <w:suff w:val="tab"/>
      <w:lvlText w:val="%1."/>
      <w:rPr>
        <w:color w:val="3370ff"/>
      </w:rPr>
    </w:lvl>
  </w:abstractNum>
  <w:abstractNum w:abstractNumId="353615">
    <w:lvl>
      <w:start w:val="2"/>
      <w:numFmt w:val="decimal"/>
      <w:suff w:val="tab"/>
      <w:lvlText w:val="%1."/>
      <w:rPr>
        <w:color w:val="3370ff"/>
      </w:rPr>
    </w:lvl>
  </w:abstractNum>
  <w:abstractNum w:abstractNumId="353616">
    <w:lvl>
      <w:start w:val="3"/>
      <w:numFmt w:val="decimal"/>
      <w:suff w:val="tab"/>
      <w:lvlText w:val="%1."/>
      <w:rPr>
        <w:color w:val="3370ff"/>
      </w:rPr>
    </w:lvl>
  </w:abstractNum>
  <w:abstractNum w:abstractNumId="353617">
    <w:lvl>
      <w:start w:val="4"/>
      <w:numFmt w:val="decimal"/>
      <w:suff w:val="tab"/>
      <w:lvlText w:val="%1."/>
      <w:rPr>
        <w:color w:val="3370ff"/>
      </w:rPr>
    </w:lvl>
  </w:abstractNum>
  <w:abstractNum w:abstractNumId="353618">
    <w:lvl>
      <w:numFmt w:val="bullet"/>
      <w:suff w:val="tab"/>
      <w:lvlText w:val="•"/>
      <w:rPr>
        <w:color w:val="3370ff"/>
      </w:rPr>
    </w:lvl>
  </w:abstractNum>
  <w:abstractNum w:abstractNumId="353619">
    <w:lvl>
      <w:start w:val="1"/>
      <w:numFmt w:val="decimal"/>
      <w:suff w:val="tab"/>
      <w:lvlText w:val="%1."/>
      <w:rPr>
        <w:color w:val="3370ff"/>
      </w:rPr>
    </w:lvl>
  </w:abstractNum>
  <w:abstractNum w:abstractNumId="353620">
    <w:lvl>
      <w:start w:val="2"/>
      <w:numFmt w:val="decimal"/>
      <w:suff w:val="tab"/>
      <w:lvlText w:val="%1."/>
      <w:rPr>
        <w:color w:val="3370ff"/>
      </w:rPr>
    </w:lvl>
  </w:abstractNum>
  <w:abstractNum w:abstractNumId="353621">
    <w:lvl>
      <w:start w:val="3"/>
      <w:numFmt w:val="decimal"/>
      <w:suff w:val="tab"/>
      <w:lvlText w:val="%1."/>
      <w:rPr>
        <w:color w:val="3370ff"/>
      </w:rPr>
    </w:lvl>
  </w:abstractNum>
  <w:abstractNum w:abstractNumId="353622">
    <w:lvl>
      <w:start w:val="4"/>
      <w:numFmt w:val="decimal"/>
      <w:suff w:val="tab"/>
      <w:lvlText w:val="%1."/>
      <w:rPr>
        <w:color w:val="3370ff"/>
      </w:rPr>
    </w:lvl>
  </w:abstractNum>
  <w:abstractNum w:abstractNumId="353623">
    <w:lvl>
      <w:start w:val="5"/>
      <w:numFmt w:val="decimal"/>
      <w:suff w:val="tab"/>
      <w:lvlText w:val="%1."/>
      <w:rPr>
        <w:color w:val="3370ff"/>
      </w:rPr>
    </w:lvl>
  </w:abstractNum>
  <w:abstractNum w:abstractNumId="353624">
    <w:lvl>
      <w:numFmt w:val="bullet"/>
      <w:suff w:val="tab"/>
      <w:lvlText w:val="•"/>
      <w:rPr>
        <w:color w:val="3370ff"/>
      </w:rPr>
    </w:lvl>
  </w:abstractNum>
  <w:abstractNum w:abstractNumId="353625">
    <w:lvl>
      <w:start w:val="1"/>
      <w:numFmt w:val="decimal"/>
      <w:suff w:val="tab"/>
      <w:lvlText w:val="%1."/>
      <w:rPr>
        <w:color w:val="3370ff"/>
      </w:rPr>
    </w:lvl>
  </w:abstractNum>
  <w:abstractNum w:abstractNumId="353626">
    <w:lvl>
      <w:start w:val="2"/>
      <w:numFmt w:val="decimal"/>
      <w:suff w:val="tab"/>
      <w:lvlText w:val="%1."/>
      <w:rPr>
        <w:color w:val="3370ff"/>
      </w:rPr>
    </w:lvl>
  </w:abstractNum>
  <w:abstractNum w:abstractNumId="353627">
    <w:lvl>
      <w:start w:val="3"/>
      <w:numFmt w:val="decimal"/>
      <w:suff w:val="tab"/>
      <w:lvlText w:val="%1."/>
      <w:rPr>
        <w:color w:val="3370ff"/>
      </w:rPr>
    </w:lvl>
  </w:abstractNum>
  <w:abstractNum w:abstractNumId="353628">
    <w:lvl>
      <w:start w:val="4"/>
      <w:numFmt w:val="decimal"/>
      <w:suff w:val="tab"/>
      <w:lvlText w:val="%1."/>
      <w:rPr>
        <w:color w:val="3370ff"/>
      </w:rPr>
    </w:lvl>
  </w:abstractNum>
  <w:abstractNum w:abstractNumId="353629">
    <w:lvl>
      <w:start w:val="5"/>
      <w:numFmt w:val="decimal"/>
      <w:suff w:val="tab"/>
      <w:lvlText w:val="%1."/>
      <w:rPr>
        <w:color w:val="3370ff"/>
      </w:rPr>
    </w:lvl>
  </w:abstractNum>
  <w:abstractNum w:abstractNumId="353630">
    <w:lvl>
      <w:start w:val="6"/>
      <w:numFmt w:val="decimal"/>
      <w:suff w:val="tab"/>
      <w:lvlText w:val="%1."/>
      <w:rPr>
        <w:color w:val="3370ff"/>
      </w:rPr>
    </w:lvl>
  </w:abstractNum>
  <w:abstractNum w:abstractNumId="353631">
    <w:lvl>
      <w:start w:val="7"/>
      <w:numFmt w:val="decimal"/>
      <w:suff w:val="tab"/>
      <w:lvlText w:val="%1."/>
      <w:rPr>
        <w:color w:val="3370ff"/>
      </w:rPr>
    </w:lvl>
  </w:abstractNum>
  <w:abstractNum w:abstractNumId="353632">
    <w:lvl>
      <w:numFmt w:val="bullet"/>
      <w:suff w:val="tab"/>
      <w:lvlText w:val="•"/>
      <w:rPr>
        <w:color w:val="3370ff"/>
      </w:rPr>
    </w:lvl>
  </w:abstractNum>
  <w:abstractNum w:abstractNumId="353633">
    <w:lvl>
      <w:numFmt w:val="bullet"/>
      <w:suff w:val="tab"/>
      <w:lvlText w:val="•"/>
      <w:rPr>
        <w:color w:val="3370ff"/>
      </w:rPr>
    </w:lvl>
  </w:abstractNum>
  <w:abstractNum w:abstractNumId="353634">
    <w:lvl>
      <w:start w:val="1"/>
      <w:numFmt w:val="decimal"/>
      <w:suff w:val="tab"/>
      <w:lvlText w:val="%1."/>
      <w:rPr>
        <w:color w:val="3370ff"/>
      </w:rPr>
    </w:lvl>
  </w:abstractNum>
  <w:abstractNum w:abstractNumId="353635">
    <w:lvl>
      <w:start w:val="2"/>
      <w:numFmt w:val="decimal"/>
      <w:suff w:val="tab"/>
      <w:lvlText w:val="%1."/>
      <w:rPr>
        <w:color w:val="3370ff"/>
      </w:rPr>
    </w:lvl>
  </w:abstractNum>
  <w:abstractNum w:abstractNumId="353636">
    <w:lvl>
      <w:start w:val="3"/>
      <w:numFmt w:val="decimal"/>
      <w:suff w:val="tab"/>
      <w:lvlText w:val="%1."/>
      <w:rPr>
        <w:color w:val="3370ff"/>
      </w:rPr>
    </w:lvl>
  </w:abstractNum>
  <w:abstractNum w:abstractNumId="353637">
    <w:lvl>
      <w:start w:val="4"/>
      <w:numFmt w:val="decimal"/>
      <w:suff w:val="tab"/>
      <w:lvlText w:val="%1."/>
      <w:rPr>
        <w:color w:val="3370ff"/>
      </w:rPr>
    </w:lvl>
  </w:abstractNum>
  <w:abstractNum w:abstractNumId="353638">
    <w:lvl>
      <w:start w:val="5"/>
      <w:numFmt w:val="decimal"/>
      <w:suff w:val="tab"/>
      <w:lvlText w:val="%1."/>
      <w:rPr>
        <w:color w:val="3370ff"/>
      </w:rPr>
    </w:lvl>
  </w:abstractNum>
  <w:abstractNum w:abstractNumId="353639">
    <w:lvl>
      <w:start w:val="6"/>
      <w:numFmt w:val="decimal"/>
      <w:suff w:val="tab"/>
      <w:lvlText w:val="%1."/>
      <w:rPr>
        <w:color w:val="3370ff"/>
      </w:rPr>
    </w:lvl>
  </w:abstractNum>
  <w:abstractNum w:abstractNumId="353640">
    <w:lvl>
      <w:start w:val="7"/>
      <w:numFmt w:val="decimal"/>
      <w:suff w:val="tab"/>
      <w:lvlText w:val="%1."/>
      <w:rPr>
        <w:color w:val="3370ff"/>
      </w:rPr>
    </w:lvl>
  </w:abstractNum>
  <w:abstractNum w:abstractNumId="353641">
    <w:lvl>
      <w:start w:val="8"/>
      <w:numFmt w:val="decimal"/>
      <w:suff w:val="tab"/>
      <w:lvlText w:val="%1."/>
      <w:rPr>
        <w:color w:val="3370ff"/>
      </w:rPr>
    </w:lvl>
  </w:abstractNum>
  <w:abstractNum w:abstractNumId="353642">
    <w:lvl>
      <w:start w:val="9"/>
      <w:numFmt w:val="decimal"/>
      <w:suff w:val="tab"/>
      <w:lvlText w:val="%1."/>
      <w:rPr>
        <w:color w:val="3370ff"/>
      </w:rPr>
    </w:lvl>
  </w:abstractNum>
  <w:abstractNum w:abstractNumId="353643">
    <w:lvl>
      <w:start w:val="1"/>
      <w:numFmt w:val="decimal"/>
      <w:suff w:val="tab"/>
      <w:lvlText w:val="%1."/>
      <w:rPr>
        <w:color w:val="3370ff"/>
      </w:rPr>
    </w:lvl>
  </w:abstractNum>
  <w:abstractNum w:abstractNumId="353644">
    <w:lvl>
      <w:start w:val="2"/>
      <w:numFmt w:val="decimal"/>
      <w:suff w:val="tab"/>
      <w:lvlText w:val="%1."/>
      <w:rPr>
        <w:color w:val="3370ff"/>
      </w:rPr>
    </w:lvl>
  </w:abstractNum>
  <w:abstractNum w:abstractNumId="353645">
    <w:lvl>
      <w:numFmt w:val="bullet"/>
      <w:suff w:val="tab"/>
      <w:lvlText w:val="•"/>
      <w:rPr>
        <w:color w:val="3370ff"/>
      </w:rPr>
    </w:lvl>
  </w:abstractNum>
  <w:abstractNum w:abstractNumId="353646">
    <w:lvl>
      <w:numFmt w:val="bullet"/>
      <w:suff w:val="tab"/>
      <w:lvlText w:val="•"/>
      <w:rPr>
        <w:color w:val="3370ff"/>
      </w:rPr>
    </w:lvl>
  </w:abstractNum>
  <w:abstractNum w:abstractNumId="353647">
    <w:lvl>
      <w:numFmt w:val="bullet"/>
      <w:suff w:val="tab"/>
      <w:lvlText w:val="•"/>
      <w:rPr>
        <w:color w:val="3370ff"/>
      </w:rPr>
    </w:lvl>
  </w:abstractNum>
  <w:abstractNum w:abstractNumId="353648">
    <w:lvl>
      <w:numFmt w:val="bullet"/>
      <w:suff w:val="tab"/>
      <w:lvlText w:val="•"/>
      <w:rPr>
        <w:color w:val="3370ff"/>
      </w:rPr>
    </w:lvl>
  </w:abstractNum>
  <w:abstractNum w:abstractNumId="353649">
    <w:lvl>
      <w:numFmt w:val="bullet"/>
      <w:suff w:val="tab"/>
      <w:lvlText w:val="•"/>
      <w:rPr>
        <w:color w:val="3370ff"/>
      </w:rPr>
    </w:lvl>
  </w:abstractNum>
  <w:abstractNum w:abstractNumId="353650">
    <w:lvl>
      <w:numFmt w:val="bullet"/>
      <w:suff w:val="tab"/>
      <w:lvlText w:val="•"/>
      <w:rPr>
        <w:color w:val="3370ff"/>
      </w:rPr>
    </w:lvl>
  </w:abstractNum>
  <w:abstractNum w:abstractNumId="353651">
    <w:lvl>
      <w:numFmt w:val="bullet"/>
      <w:suff w:val="tab"/>
      <w:lvlText w:val="•"/>
      <w:rPr>
        <w:color w:val="3370ff"/>
      </w:rPr>
    </w:lvl>
  </w:abstractNum>
  <w:abstractNum w:abstractNumId="353652">
    <w:lvl>
      <w:numFmt w:val="bullet"/>
      <w:suff w:val="tab"/>
      <w:lvlText w:val="•"/>
      <w:rPr>
        <w:color w:val="3370ff"/>
      </w:rPr>
    </w:lvl>
  </w:abstractNum>
  <w:abstractNum w:abstractNumId="353653">
    <w:lvl>
      <w:numFmt w:val="bullet"/>
      <w:suff w:val="tab"/>
      <w:lvlText w:val="￮"/>
      <w:rPr>
        <w:color w:val="3370ff"/>
      </w:rPr>
    </w:lvl>
  </w:abstractNum>
  <w:abstractNum w:abstractNumId="353654">
    <w:lvl>
      <w:numFmt w:val="bullet"/>
      <w:suff w:val="tab"/>
      <w:lvlText w:val="￮"/>
      <w:rPr>
        <w:color w:val="3370ff"/>
      </w:rPr>
    </w:lvl>
  </w:abstractNum>
  <w:abstractNum w:abstractNumId="353655">
    <w:lvl>
      <w:numFmt w:val="bullet"/>
      <w:suff w:val="tab"/>
      <w:lvlText w:val="￮"/>
      <w:rPr>
        <w:color w:val="3370ff"/>
      </w:rPr>
    </w:lvl>
  </w:abstractNum>
  <w:abstractNum w:abstractNumId="353656">
    <w:lvl>
      <w:numFmt w:val="bullet"/>
      <w:suff w:val="tab"/>
      <w:lvlText w:val="￮"/>
      <w:rPr>
        <w:color w:val="3370ff"/>
      </w:rPr>
    </w:lvl>
  </w:abstractNum>
  <w:abstractNum w:abstractNumId="353657">
    <w:lvl>
      <w:numFmt w:val="bullet"/>
      <w:suff w:val="tab"/>
      <w:lvlText w:val="￮"/>
      <w:rPr>
        <w:color w:val="3370ff"/>
      </w:rPr>
    </w:lvl>
  </w:abstractNum>
  <w:abstractNum w:abstractNumId="353658">
    <w:lvl>
      <w:numFmt w:val="bullet"/>
      <w:suff w:val="tab"/>
      <w:lvlText w:val="￮"/>
      <w:rPr>
        <w:color w:val="3370ff"/>
      </w:rPr>
    </w:lvl>
  </w:abstractNum>
  <w:abstractNum w:abstractNumId="353659">
    <w:lvl>
      <w:numFmt w:val="bullet"/>
      <w:suff w:val="tab"/>
      <w:lvlText w:val="￮"/>
      <w:rPr>
        <w:color w:val="3370ff"/>
      </w:rPr>
    </w:lvl>
  </w:abstractNum>
  <w:num w:numId="1">
    <w:abstractNumId w:val="353611"/>
  </w:num>
  <w:num w:numId="2">
    <w:abstractNumId w:val="353612"/>
  </w:num>
  <w:num w:numId="3">
    <w:abstractNumId w:val="353613"/>
  </w:num>
  <w:num w:numId="4">
    <w:abstractNumId w:val="353614"/>
  </w:num>
  <w:num w:numId="5">
    <w:abstractNumId w:val="353615"/>
  </w:num>
  <w:num w:numId="6">
    <w:abstractNumId w:val="353616"/>
  </w:num>
  <w:num w:numId="7">
    <w:abstractNumId w:val="353617"/>
  </w:num>
  <w:num w:numId="8">
    <w:abstractNumId w:val="353618"/>
  </w:num>
  <w:num w:numId="9">
    <w:abstractNumId w:val="353619"/>
  </w:num>
  <w:num w:numId="10">
    <w:abstractNumId w:val="353620"/>
  </w:num>
  <w:num w:numId="11">
    <w:abstractNumId w:val="353621"/>
  </w:num>
  <w:num w:numId="12">
    <w:abstractNumId w:val="353622"/>
  </w:num>
  <w:num w:numId="13">
    <w:abstractNumId w:val="353623"/>
  </w:num>
  <w:num w:numId="14">
    <w:abstractNumId w:val="353624"/>
  </w:num>
  <w:num w:numId="15">
    <w:abstractNumId w:val="353625"/>
  </w:num>
  <w:num w:numId="16">
    <w:abstractNumId w:val="353626"/>
  </w:num>
  <w:num w:numId="17">
    <w:abstractNumId w:val="353627"/>
  </w:num>
  <w:num w:numId="18">
    <w:abstractNumId w:val="353628"/>
  </w:num>
  <w:num w:numId="19">
    <w:abstractNumId w:val="353629"/>
  </w:num>
  <w:num w:numId="20">
    <w:abstractNumId w:val="353630"/>
  </w:num>
  <w:num w:numId="21">
    <w:abstractNumId w:val="353631"/>
  </w:num>
  <w:num w:numId="22">
    <w:abstractNumId w:val="353632"/>
  </w:num>
  <w:num w:numId="23">
    <w:abstractNumId w:val="353633"/>
  </w:num>
  <w:num w:numId="24">
    <w:abstractNumId w:val="353634"/>
  </w:num>
  <w:num w:numId="25">
    <w:abstractNumId w:val="353635"/>
  </w:num>
  <w:num w:numId="26">
    <w:abstractNumId w:val="353636"/>
  </w:num>
  <w:num w:numId="27">
    <w:abstractNumId w:val="353637"/>
  </w:num>
  <w:num w:numId="28">
    <w:abstractNumId w:val="353638"/>
  </w:num>
  <w:num w:numId="29">
    <w:abstractNumId w:val="353639"/>
  </w:num>
  <w:num w:numId="30">
    <w:abstractNumId w:val="353640"/>
  </w:num>
  <w:num w:numId="31">
    <w:abstractNumId w:val="353641"/>
  </w:num>
  <w:num w:numId="32">
    <w:abstractNumId w:val="353642"/>
  </w:num>
  <w:num w:numId="33">
    <w:abstractNumId w:val="353643"/>
  </w:num>
  <w:num w:numId="34">
    <w:abstractNumId w:val="353644"/>
  </w:num>
  <w:num w:numId="35">
    <w:abstractNumId w:val="353645"/>
  </w:num>
  <w:num w:numId="36">
    <w:abstractNumId w:val="353646"/>
  </w:num>
  <w:num w:numId="37">
    <w:abstractNumId w:val="353647"/>
  </w:num>
  <w:num w:numId="38">
    <w:abstractNumId w:val="353648"/>
  </w:num>
  <w:num w:numId="39">
    <w:abstractNumId w:val="353649"/>
  </w:num>
  <w:num w:numId="40">
    <w:abstractNumId w:val="353650"/>
  </w:num>
  <w:num w:numId="41">
    <w:abstractNumId w:val="353651"/>
  </w:num>
  <w:num w:numId="42">
    <w:abstractNumId w:val="353652"/>
  </w:num>
  <w:num w:numId="43">
    <w:abstractNumId w:val="353653"/>
  </w:num>
  <w:num w:numId="44">
    <w:abstractNumId w:val="353654"/>
  </w:num>
  <w:num w:numId="45">
    <w:abstractNumId w:val="353655"/>
  </w:num>
  <w:num w:numId="46">
    <w:abstractNumId w:val="353656"/>
  </w:num>
  <w:num w:numId="47">
    <w:abstractNumId w:val="353657"/>
  </w:num>
  <w:num w:numId="48">
    <w:abstractNumId w:val="353658"/>
  </w:num>
  <w:num w:numId="49">
    <w:abstractNumId w:val="35365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2024-08-14T08:53:06Z</dcterms:created>
  <dc:creator>Apache POI</dc:creator>
</cp:coreProperties>
</file>