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52"/>
          <w:szCs w:val="52"/>
        </w:rPr>
        <w:t xml:space="preserve">FairForge 融资白皮书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b6cb0"/>
          <w:sz w:val="28"/>
          <w:szCs w:val="28"/>
        </w:rPr>
        <w:t xml:space="preserve">FairForge 公平发射台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2026-05-11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65d"/>
          <w:sz w:val="36"/>
          <w:szCs w:val="36"/>
        </w:rPr>
        <w:t xml:space="preserve">FairForge（公平发射台）— BSC 链上 Meme 资产公平发射平台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投资者白皮书 | Confidential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1. 项目概述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 是部署于 BSC（BNB Chain）的 Pump.fun 风格联合曲线发射平台，集成 DAO 治理投票、双池借贷（Long Pool / Short Pool）以及由 FAIR 代币驱动的 Buy &amp; Burn 引擎，构建了从资产发行、价格发现、借贷做空到代币销毁的完整 DeFi 闭环。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核心命题</w:t>
      </w:r>
      <w:r>
        <w:rPr>
          <w:sz w:val="21"/>
          <w:szCs w:val="21"/>
        </w:rPr>
        <w:t xml:space="preserve">：Meme 币市场缺乏公平、透明且可持续的发行基础设施。Pump.fun 已在 Solana 上验证了联合曲线发射模式的巨大商业价值——上线一年内累计产生超过 1.5 亿美元协议收入，但该模式存在三大缺陷：无借贷做空机制、无 DAO 治理筛选、无平台代币价值捕获。FairForge 正是在此市场空白上构建的下一代发射平台。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关键指标</w:t>
      </w:r>
      <w:r>
        <w:rPr>
          <w:sz w:val="21"/>
          <w:szCs w:val="21"/>
        </w:rPr>
        <w:t xml:space="preserve">（单代币上线，BNB = $1,000）：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即时收入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~$1,945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日持续收入（$10 万日交易量）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~$1,533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月收入（30 代币上线）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~$104,000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年收入（365 代币上线）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~$1,250,000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 Buy &amp; Burn 压力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~$92,000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年 Buy &amp; Burn 压力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~$1,100,000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2. 市场分析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2.1 Meme 币市场规模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2024 年 Meme 币板块总市值一度突破 800 亿美元，日均交易量超过 50 亿美元。Meme 币已从边缘实验演变为加密市场核心叙事之一，其驱动力来自社区文化、社交传播与投机需求的叠加。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2.2 Pump.fun 的成功验证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Pump.fun 在 Solana 上的爆发性增长证明了联合曲线发射模式的商业可行性：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累计上线代币超 400 万个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协议总收入超 1.5 亿美元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日峰值收入超 500 万美元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单日代币创建量峰值超 30,000 个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然而 Pump.fun 的模式存在明显短板：无做空机制导致单边市场、无 DAO 筛选导致垃圾项目泛滥、无平台代币导致协议价值无法内化。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2.3 BSC 的战略机遇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BSC 拥有独特的竞争优势：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低 Gas 费</w:t>
      </w:r>
      <w:r>
        <w:rPr>
          <w:sz w:val="21"/>
          <w:szCs w:val="21"/>
        </w:rPr>
        <w:t xml:space="preserve">：平均交易成本低于 $0.05，适合高频交易场景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PancakeSwap 生态</w:t>
      </w:r>
      <w:r>
        <w:rPr>
          <w:sz w:val="21"/>
          <w:szCs w:val="21"/>
        </w:rPr>
        <w:t xml:space="preserve">：BSC 最大 DEX 日均交易量超 10 亿美元，流动性基础设施成熟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用户基数</w:t>
      </w:r>
      <w:r>
        <w:rPr>
          <w:sz w:val="21"/>
          <w:szCs w:val="21"/>
        </w:rPr>
        <w:t xml:space="preserve">：BSC 链上活跃地址超 200 万，且以亚洲和新兴市场用户为主——正是 Meme 币最活跃的用户群体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BNB 价格优势</w:t>
      </w:r>
      <w:r>
        <w:rPr>
          <w:sz w:val="21"/>
          <w:szCs w:val="21"/>
        </w:rPr>
        <w:t xml:space="preserve">：当前 BSC 尚无主导性 Meme 发射平台，市场空白明确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3. 产品架构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 由四大核心模块构成，形成完整的 Meme 资产生命周期管理：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3.1 联合曲线发行引擎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采用线性联合曲线模型，实现公平、透明的价格发现：</w:t>
      </w:r>
    </w:p>
    <w:p>
      <w:pPr>
        <w:spacing w:after="60"/>
      </w:pP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100"/>
      </w:pPr>
      <w:r>
        <w:rPr>
          <w:sz w:val="21"/>
          <w:szCs w:val="21"/>
        </w:rPr>
        <w:t xml:space="preserve">Price = BASE_PRICE + SLOPE × supply / 10^18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参数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BASE_PRICE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100 gwei（≈ $0.0001）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起始价格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SLOPE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10,000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价格斜率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 上线阈值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 BNB 储备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自动触发 DEX 挂牌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代币总供应量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1,000,000,000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每个代币固定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创建费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0.1 BNB（≈ $100）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防垃圾项目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曲线交易费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买 1% + 卖 1%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协议收入来源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 交易税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买 1% + 卖 2%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持续收入来源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持仓上限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总供应量 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防狙击机制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当 BNB 储备达到 30 BNB 时，系统自动在 PancakeSwap 添加流动性并挂牌交易，BNB 和代币按以下比例分配：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BNB 分配</w:t>
      </w:r>
      <w:r>
        <w:rPr>
          <w:sz w:val="21"/>
          <w:szCs w:val="21"/>
        </w:rPr>
        <w:t xml:space="preserve">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比例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 流动性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PancakeSwap 做市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 Pool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借贷池 BNB 存款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Buy &amp; Burn 引擎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购买并销毁 FAIR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平台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协议收入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代币分配</w:t>
      </w:r>
      <w:r>
        <w:rPr>
          <w:sz w:val="21"/>
          <w:szCs w:val="21"/>
        </w:rPr>
        <w:t xml:space="preserve">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比例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 流动性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与 BNB 配对做市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Short Pool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做空借贷池存款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创建者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可变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取决于激励选项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销毁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剩余部分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通缩机制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3.2 DAO 治理投票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LaunchDAO 以 1 天为周期（Epoch），通过社区投票筛选优质项目：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参数</w:t>
            </w:r>
          </w:p>
        </w:tc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Epoch 周期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 天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投票机制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BNB 质押投票 + FAIR 质押加权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 加权系数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15% 额外权重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BNB 质押范围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0.1 - 300 BNB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承诺比例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 - 100%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候选人有效期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 天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候选人提交费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0.05 BNB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胜出机制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权重最高者上线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投票流程：提交候选 → 投票期 → 结算 → 认购期（3.5 小时）→ 预发射期（30 分钟）→ 代币上线。胜出项目的支持者以承诺 BNB 按比例获得代币，实现社区驱动的公平分配。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3.3 双池借贷系统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 创新性地为每个 Meme 代币配备独立的借贷池：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Long Pool（做多池）</w:t>
      </w:r>
      <w:r>
        <w:rPr>
          <w:sz w:val="21"/>
          <w:szCs w:val="21"/>
        </w:rPr>
        <w:t xml:space="preserve">：存入 BNB，以代币为抵押借出。为代币持有者提供杠杆做多通道，同时为 LP 提供借贷利息收入。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Short Pool（做空池）</w:t>
      </w:r>
      <w:r>
        <w:rPr>
          <w:sz w:val="21"/>
          <w:szCs w:val="21"/>
        </w:rPr>
        <w:t xml:space="preserve">：存入代币，供做空者借入后在 DEX 卖出。为市场提供价格发现的双边机制，做空者需归还代币并支付利息。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利率模型支持线性和指数两种模式，由 TWAP 预言机提供价格数据，Keeper 定期更新。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3.4 Buy &amp; Burn 引擎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每个代币上线时，10% 的 BNB 储备自动进入 Buy &amp; Burn 引擎，在 PancakeSwap 上购买 FAIR 代币并永久销毁：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参数</w:t>
            </w:r>
          </w:p>
        </w:tc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触发阈值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0.1 BNB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最大滑点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单次最大销毁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 BNB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最小间隔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 秒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执行者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授权 Keeper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此外，FeeDistributor 将平台手续费的 30% 也路由至 Buy &amp; Burn 引擎，70% 分配给 FAIR 质押者，形成双重价值回馈。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4. 商业模式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4.1 收入来源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 拥有多元化的收入结构：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收入类型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费率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创建费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代币创建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0.1 BNB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曲线买入费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联合曲线阶段买入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1%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曲线卖出费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联合曲线阶段卖出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1%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 买入税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PancakeSwap 买入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1%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 卖出税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PancakeSwap 卖出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2%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平台 BNB 分配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 挂牌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创建者激励盈余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创建者选择 2-3 项激励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5%-11%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4.2 单位经济学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以 BNB = $1,000、创建者选择 3 项激励为例：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即时收入</w:t>
      </w:r>
      <w:r>
        <w:rPr>
          <w:sz w:val="21"/>
          <w:szCs w:val="21"/>
        </w:rPr>
        <w:t xml:space="preserve">（单代币上线）：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计算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金额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创建费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0.1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曲线买入费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~$31,000 × 1%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~$310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平台 BNB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 BNB × 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~$1,535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**合计**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**~$1,945**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持续收入</w:t>
      </w:r>
      <w:r>
        <w:rPr>
          <w:sz w:val="21"/>
          <w:szCs w:val="21"/>
        </w:rPr>
        <w:t xml:space="preserve">（$10 万日交易量）：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计算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日收入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 交易税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$50K × 1% + $50K × 2% = $1,500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$1,500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创建者税分成后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$1,500 × (1 - 14%) = $1,290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$1,290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 手续费（平台分成）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估算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~$243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**日合计**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**~$1,533**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4.3 规模化收入预测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规模</w:t>
            </w:r>
          </w:p>
        </w:tc>
        <w:tc>
          <w:tcPr>
            <w:tcW w:type="dxa" w:w="18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月上线数</w:t>
            </w:r>
          </w:p>
        </w:tc>
        <w:tc>
          <w:tcPr>
            <w:tcW w:type="dxa" w:w="18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即时月收入</w:t>
            </w:r>
          </w:p>
        </w:tc>
        <w:tc>
          <w:tcPr>
            <w:tcW w:type="dxa" w:w="18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持续月收入</w:t>
            </w:r>
          </w:p>
        </w:tc>
        <w:tc>
          <w:tcPr>
            <w:tcW w:type="dxa" w:w="18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月总收入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保守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~$29K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~$23K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~$52K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基准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~$58K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~$46K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~$104K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乐观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~$117K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~$92K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~$209K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注：持续收入按 $10 万日交易量/代币计算，实际随交易量增长而增长。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5. FAIR 代币经济学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5.1 代币概览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参数</w:t>
            </w:r>
          </w:p>
        </w:tc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代币名称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所在链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BSC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总供应量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待定（种子轮确定）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代币类型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治理 + 价值捕获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5.2 价值捕获机制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 代币通过三重机制实现价值内化：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① Buy &amp; Burn（购买销毁）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每个代币上线时，储备 BNB 的 10% 自动用于在 PancakeSwap 购买 FAIR 并永久销毁，形成持续的通缩压力：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周期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上线代币数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Buy &amp; Burn 金额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单次上线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~$3,069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~$92,000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年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365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~$1,100,000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② 质押分红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FeeDistributor 将平台手续费的 70% 以 BNB 形式分配给 FAIR 质押者，质押者获得与持仓比例对应的 BNB 收益。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③ DAO 治理权重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质押 FAIR 可获得 DAO 投票 15% 的额外权重加成，使 FAIR 持有者在项目筛选中拥有更大话语权，增强代币治理需求。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5.3 创建者激励与 FAIR 价值传导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创建者可从三项激励中选择 1-3 项：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选择数量</w:t>
            </w:r>
          </w:p>
        </w:tc>
        <w:tc>
          <w:tcPr>
            <w:tcW w:type="dxa" w:w="225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每项获得</w:t>
            </w:r>
          </w:p>
        </w:tc>
        <w:tc>
          <w:tcPr>
            <w:tcW w:type="dxa" w:w="225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平台盈余</w:t>
            </w:r>
          </w:p>
        </w:tc>
        <w:tc>
          <w:tcPr>
            <w:tcW w:type="dxa" w:w="225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示例（选 Tax Share）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 项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50% 税收分成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 项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22.5%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22.5% 税收 + 22.5% LP 分成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 项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14%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11%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14% 税收 + 14% LP + 14% 代币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选择越多，单项比例越低，平台盈余越高——这部分盈余最终流入 FeeDistributor，回馈 FAIR 质押者和 Buy &amp; Burn 引擎。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5.4 创建者锁仓机制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激励类型</w:t>
            </w:r>
          </w:p>
        </w:tc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锁仓方式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代币分配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90 天悬崖期 + 360 天线性释放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LP 份额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180 天线性释放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锁仓机制确保创建者与项目长期利益一致，防止短期砸盘。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6. 竞争优势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6.1 公平发射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无预售、无团队预留。联合曲线确保价格从极低点开始逐步发现，所有参与者在同一机制下交易，消除信息不对称。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6.2 可持续飞轮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Buy &amp; Burn 机制将每个代币的上线和交易活动转化为 FAIR 的持续购买压力，形成「代币上线 → BNB 进入引擎 → 购买销毁 FAIR → FAIR 通缩 → 价格上升 → 吸引更多项目」的正向飞轮。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6.3 全栈 DeFi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 是唯一将发射 + 借贷 + 做空 + DAO 治理整合为单一协议的平台。用户无需在多个协议间跳转，即可完成从发现项目、参与发射、杠杆做多/做空到治理投票的全流程。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6.4 创建者激励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灵活的三选激励体系吸引优质 Meme 创作者：税收分成提供持续现金流，LP 份额提供流动性收益，代币分配提供上行敞口。创建者可根据自身策略自由组合。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6.5 反狙击设计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线性联合曲线 + 1% 买卖手续费 + 5% 持仓上限三重防护，有效抑制狙击机器人抢跑和大户操纵，保护普通投资者利益。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7. 发展路线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Phase 1：基础建设（Q1-Q2）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核心合约开发与审计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联合曲线发行引擎上线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PancakeSwap DEX 集成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前端界面与钱包连接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FAIR 代币发行与初始流动性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Phase 2：生态扩展（Q3）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LaunchDAO 治理投票上线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双池借贷系统部署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Buy &amp; Burn 引擎启动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FeeDistributor 质押分红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创建者激励体系开放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Phase 3：规模增长（Q4）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多语言前端支持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移动端适配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KOL 与社区合作计划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跨链桥接探索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高级交易功能（限价单、止损）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Phase 4：协议演进（次年 Q1）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DAO 完全去中心化治理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NFT 发射支持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跨链部署（Base、Arbitrum）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开发者 SDK 与 API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机构级 Meme 指数产品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8. 团队与愿景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愿景</w:t>
      </w:r>
      <w:r>
        <w:rPr>
          <w:sz w:val="21"/>
          <w:szCs w:val="21"/>
        </w:rPr>
        <w:t xml:space="preserve">：成为 BSC 链上 Meme 资产发行的基础设施标准，让每一个创意都能获得公平的资本发现机会。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团队</w:t>
      </w:r>
      <w:r>
        <w:rPr>
          <w:sz w:val="21"/>
          <w:szCs w:val="21"/>
        </w:rPr>
        <w:t xml:space="preserve">：核心团队由 DeFi 协议开发、智能合约安全与加密社区运营领域的资深从业者组成，具备从零到一构建链上协议的完整经验。所有合约均采用 OpenZeppelin 标准库，经过严格的安全审计。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理念</w:t>
      </w:r>
      <w:r>
        <w:rPr>
          <w:sz w:val="21"/>
          <w:szCs w:val="21"/>
        </w:rPr>
        <w:t xml:space="preserve">：公平不是口号，而是机制设计。FairForge 通过联合曲线、DAO 筛选和 Buy &amp; Burn 三位一体的机制设计，将公平从理念转化为可验证的链上逻辑。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9. 风险与缓解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风险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等级</w:t>
            </w:r>
          </w:p>
        </w:tc>
        <w:tc>
          <w:tcPr>
            <w:tcW w:type="dxa" w:w="30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智能合约漏洞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OpenZeppelin 标准库 + 第三方审计 + 限时暂停机制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监管不确定性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BSC 合规友好 + 无证券属性设计 + 法律顾问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市场竞争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先发优势 + 全栈差异化 + Buy &amp; Burn 护城河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流动性不足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Long Pool 自动注入 + LP 激励 + PancakeSwap 集成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Meme 市场衰退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多收入来源 + 持续收入占比高 + 可扩展至其他资产类型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抢跑攻击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线性曲线 + 交易税 + 持仓上限 + DAO 筛选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6cb0"/>
          <w:sz w:val="30"/>
          <w:szCs w:val="30"/>
        </w:rPr>
        <w:t xml:space="preserve">10. 融资计划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10.1 种子轮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融资金额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$500,000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估值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$5,000,000（完全稀释估值）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 分配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代币价格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$0.005 / FAIR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锁仓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 月悬崖期 + 18 月线性释放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月悬崖期后开始释放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10.2 资金用途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用途</w:t>
            </w:r>
          </w:p>
        </w:tc>
        <w:tc>
          <w:tcPr>
            <w:tcW w:type="dxa" w:w="225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比例</w:t>
            </w:r>
          </w:p>
        </w:tc>
        <w:tc>
          <w:tcPr>
            <w:tcW w:type="dxa" w:w="225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金额</w:t>
            </w:r>
          </w:p>
        </w:tc>
        <w:tc>
          <w:tcPr>
            <w:tcW w:type="dxa" w:w="2250"/>
            <w:shd w:color="ebf4ff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365d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产品开发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$200K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合约开发、前端、审计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市场推广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$125K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KOL 合作、社区建设、空投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流动性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$100K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FAIR/BNB 初始 LP、做市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运营储备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$75K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服务器、Keeper、法务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365d"/>
          <w:sz w:val="26"/>
          <w:szCs w:val="26"/>
        </w:rPr>
        <w:t xml:space="preserve">10.3 里程碑与后续融资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种子轮资金将支撑团队完成 Phase 1-2 的开发与上线。在日活用户突破 5,000、月收入达到 $50K 时，计划启动 A 轮融资，目标 $2M-$5M，用于跨链扩展和机构级产品开发。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免责声明</w:t>
      </w:r>
      <w:r>
        <w:rPr>
          <w:sz w:val="21"/>
          <w:szCs w:val="21"/>
        </w:rPr>
        <w:t xml:space="preserve">：本白皮书仅供信息参考，不构成投资建议。加密资产投资具有高风险，过往表现不代表未来收益。请投资者在充分了解风险的基础上做出独立判断。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FairForge — 公平铸造，价值永续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2026-05-11T15:23:28.558Z</dcterms:created>
  <dcterms:modified xsi:type="dcterms:W3CDTF">2026-05-11T15:23:28.558Z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