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Calibri" w:cs="Calibri" w:eastAsia="Calibri" w:hAnsi="Calibri"/>
          <w:b/>
          <w:bCs/>
          <w:caps/>
          <w:color w:val="2E5496"/>
          <w:spacing w:val="40"/>
          <w:sz w:val="20"/>
          <w:szCs w:val="20"/>
        </w:rPr>
        <w:t xml:space="preserve">Documento técnico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Características técnicas para la integración de aplicaciones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7F7F7F"/>
          <w:sz w:val="22"/>
          <w:szCs w:val="22"/>
        </w:rPr>
        <w:t xml:space="preserve">Requisitos de seguridad para la integración mediante token seguro de Moodle</w:t>
      </w:r>
    </w:p>
    <w:p>
      <w:pPr>
        <w:pBdr>
          <w:bottom w:val="single" w:color="2E5496" w:sz="8" w:space="8"/>
        </w:pBdr>
        <w:spacing w:after="240" w:before="0"/>
      </w:pP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presente documento reúne las características técnicas que deben cumplir las aplicaciones para integrarse de forma segura con Moodle mediante enlaces con token cifrado. Los requisitos se organizan en seis bloques: autenticación técnica, identidad del usuario, sesión propia, métodos alternos de acceso, configuración en Moodle y pruebas. Cada requisito se presenta como un elemento verificable que la aplicación debe cumplir antes de considerarse apta para producción.</w:t>
      </w:r>
    </w:p>
    <w:p>
      <w:pPr>
        <w:spacing w:after="120" w:before="12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Resumen de bloques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5360"/>
        <w:gridCol w:w="120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Bloque</w:t>
            </w:r>
          </w:p>
        </w:tc>
        <w:tc>
          <w:tcPr>
            <w:tcW w:type="dxa" w:w="536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Requisitos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Autenticación técnica: leer y verificar el token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aplicación debe ser capaz de recibir, descifrar y validar el token emitido por Moodle antes de conceder cualquier acceso.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28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Identidad: la parte que de verdad importa</w:t>
            </w:r>
          </w:p>
        </w:tc>
        <w:tc>
          <w:tcPr>
            <w:tcW w:type="dxa" w:w="536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identidad del usuario debe establecerse exclusivamente a partir de los datos firmados por Moodle y contrastarse con los registros propios de la aplicación.</w:t>
            </w:r>
          </w:p>
        </w:tc>
        <w:tc>
          <w:tcPr>
            <w:tcW w:type="dxa" w:w="12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Sesión propia: el token no es el sistema de login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El token se canjea una sola vez por una sesión propia de la aplicación; a partir de ese momento, la autenticación se gestiona con la cookie de sesión.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No dejar una puerta trasera más débil al lado</w:t>
            </w:r>
          </w:p>
        </w:tc>
        <w:tc>
          <w:tcPr>
            <w:tcW w:type="dxa" w:w="536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junto al login por Moodle se habilita otra forma de entrar, esa otra forma se convierte en el eslabón débil real: el atacante no intentará romper AES-GCM, sino usar la puerta que no se reforzó.</w:t>
            </w:r>
          </w:p>
        </w:tc>
        <w:tc>
          <w:tcPr>
            <w:tcW w:type="dxa" w:w="12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Configuración del lado de Moodle</w:t>
            </w:r>
          </w:p>
        </w:tc>
        <w:tc>
          <w:tcPr>
            <w:tcW w:type="dxa" w:w="536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Estas condiciones se configuran al registrar la aplicación en Moodle y son parte del contrato de integración.</w:t>
            </w:r>
          </w:p>
        </w:tc>
        <w:tc>
          <w:tcPr>
            <w:tcW w:type="dxa" w:w="12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8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Pruebas sin depender de Moodle en vivo</w:t>
            </w:r>
          </w:p>
        </w:tc>
        <w:tc>
          <w:tcPr>
            <w:tcW w:type="dxa" w:w="536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 integración debe poder verificarse de forma automatizada y repetible, sin necesidad de un Moodle real en cada ejecución.</w:t>
            </w:r>
          </w:p>
        </w:tc>
        <w:tc>
          <w:tcPr>
            <w:tcW w:type="dxa" w:w="12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140" w:line="252"/>
        <w:jc w:val="both"/>
      </w:pPr>
      <w:r>
        <w:rPr>
          <w:rFonts w:ascii="Calibri" w:cs="Calibri" w:eastAsia="Calibri" w:hAnsi="Calibri"/>
          <w:i/>
          <w:iCs/>
          <w:color w:val="404040"/>
          <w:sz w:val="18"/>
          <w:szCs w:val="18"/>
        </w:rPr>
        <w:t xml:space="preserve">Nota de alcance: la columna «Cumple» permite utilizar este documento como lista de verificación durante la revisión técnica de cada aplicación. Un requisito «Obligatorio» debe cumplirse para autorizar la integración; los «Recomendado» son buenas prácticas que reducen el riesgo operativo.</w:t>
      </w:r>
    </w:p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1. Autenticación técnica: leer y verificar el token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aplicación debe ser capaz de recibir, descifrar y validar el token emitido por Moodle antes de conceder cualquier acceso.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Exponer un endpoint HTTPS que acepte el parámetro ?token= (el nombre del parámetro es configurable en Moodle; por defecto, token).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Descifrar el token con AES-256-GCM utilizando la librería oficial (PHP o Python) en lugar de reimplementar el algoritmo. En Python solo se requiere el paquete cryptography.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Configurar SECUREURL_APP_ID (id con el que Moodle registró la app) y SECUREURL_KEYS (formato version:clave,version:clave_anterior) mediante variables de entorno, nunca en el código.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Soportar rotación de claves: cuando el administrador rota la clave, la app debe seguir aceptando la clave anterior durante la transición.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Validar todo lo que valida la librería: formato, coincidencia del kid con el appid, versión de clave conocida, firma/cifrado correcto y vencimiento (exp con un margen de 30 s).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Ante cualquier fallo de validación, devolver el mismo mensaje genérico («Enlace no válido o caducado»), nunca el detalle técnico.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2. Identidad: la parte que de verdad importa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identidad del usuario debe establecerse exclusivamente a partir de los datos firmados por Moodle y contrastarse con los registros propios de la aplicación.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 SIEMPRE claims.sub (el id real de Moodle, asignado por Moodle) para decidir quién es el usuario.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confiar en los parámetros (claims.p.*), aunque el administrador los haya «bloqueado» al registrar la app; es más simple y seguro confiar solo en sub.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 ese sub, buscar la identidad en los datos propios de la aplicación (base de datos propia, no en el token), de modo que un parámetro manipulado resulte inútil.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la app tiene distintos niveles de acceso (docente, administrador, etc.), usar listas de autorización explícitas y separadas por nivel (ej. ADMIN_MOODLE_IDS), sin reutilizar la misma validación para todo.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 (si aplica)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3. Sesión propia: el token no es el sistema de login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El token se canjea una sola vez por una sesión propia de la aplicación; a partir de ese momento, la autenticación se gestiona con la cookie de sesión.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Canjear el token una sola vez por una cookie de sesión propia, firmada y con los atributos HttpOnly, Secure y SameSite.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Redirigir (302) a la misma URL sin ?token=, para que el token no quede en el historial del navegador ni en los logs de proxies.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Regenerar el id de sesión en cada login (session_regenerate_id o una nueva sesión) para evitar la fijación de sesión.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Implementar anti-reuso: guardar los jti ya vistos con el mismo TTL del token (~10 min) y rechazar un segundo uso. En un solo proceso basta la memoria; en varios procesos se requiere algo compartido (SQLite, Redis o una tabla en la BD).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Enviar Cache-Control: no-store en la respuesta que trae el token.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4. No dejar una puerta trasera más débil al lado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Si junto al login por Moodle se habilita otra forma de entrar, esa otra forma se convierte en el eslabón débil real: el atacante no intentará romper AES-GCM, sino usar la puerta que no se reforzó.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No habilitar métodos de acceso más débiles (usuario sin clave, enlace fijo, etc.) junto con el login por Moodle.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se requiere un método alterno, debe tener la misma fortaleza (con clave real) o estar desactivado en producción.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5. Configuración del lado de Moodle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Estas condiciones se configuran al registrar la aplicación en Moodle y son parte del contrato de integración.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Registrar la app con URL base fija (urllocked), para que ningún docente pueda apuntar la actividad a un sitio ajeno.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 se usan parámetros además de sub (por ejemplo courseid, legítimo porque solo decide QUÉ se muestra y no QUIÉN es el usuario), el administrador debe marcarlos como bloqueados para que el docente no los sustituya por un valor arbitrario.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1"/>
        <w:spacing w:after="110" w:before="24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6. Pruebas sin depender de Moodle en vivo</w:t>
      </w:r>
    </w:p>
    <w:p>
      <w:pPr>
        <w:spacing w:after="80" w:before="0" w:line="264"/>
        <w:jc w:val="both"/>
      </w:pPr>
      <w:r>
        <w:rPr>
          <w:rFonts w:ascii="Calibri" w:cs="Calibri" w:eastAsia="Calibri" w:hAnsi="Calibri"/>
          <w:sz w:val="21"/>
          <w:szCs w:val="21"/>
        </w:rPr>
        <w:t xml:space="preserve">La integración debe poder verificarse de forma automatizada y repetible, sin necesidad de un Moodle real en cada ejecución.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640"/>
        <w:gridCol w:w="6500"/>
        <w:gridCol w:w="1320"/>
        <w:gridCol w:w="900"/>
      </w:tblGrid>
      <w:tr>
        <w:trPr>
          <w:tblHeader/>
        </w:trPr>
        <w:tc>
          <w:tcPr>
            <w:tcW w:type="dxa" w:w="64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N.º</w:t>
            </w:r>
          </w:p>
        </w:tc>
        <w:tc>
          <w:tcPr>
            <w:tcW w:type="dxa" w:w="65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Requisito técnico</w:t>
            </w:r>
          </w:p>
        </w:tc>
        <w:tc>
          <w:tcPr>
            <w:tcW w:type="dxa" w:w="132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Obligatoriedad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Cumple</w:t>
            </w:r>
          </w:p>
        </w:tc>
      </w:tr>
      <w:tr>
        <w:trPr>
          <w:cantSplit/>
        </w:trPr>
        <w:tc>
          <w:tcPr>
            <w:tcW w:type="dxa" w:w="64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Usar issue_token() / SecureUrl::issue() de las librerías oficiales para generar tokens de prueba localmente.</w:t>
            </w:r>
          </w:p>
        </w:tc>
        <w:tc>
          <w:tcPr>
            <w:tcW w:type="dxa" w:w="132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4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5496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Cubrir con pruebas automatizadas los casos: token válido, alterado, caducado, reusado y emitido para una app distinta.</w:t>
            </w:r>
          </w:p>
        </w:tc>
        <w:tc>
          <w:tcPr>
            <w:tcW w:type="dxa" w:w="132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900"/>
            <w:shd w:fill="EDF1F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228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4"/>
                <w:szCs w:val="24"/>
              </w:rPr>
              <w:t xml:space="preserve">☐</w:t>
            </w:r>
          </w:p>
        </w:tc>
      </w:tr>
    </w:tbl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Características técnicas de integración  ·  Página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</w:r>
    <w:r>
      <w:rPr>
        <w:rFonts w:ascii="Calibri" w:cs="Calibri" w:eastAsia="Calibri" w:hAnsi="Calibri"/>
        <w:color w:val="7F7F7F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7F7F7F"/>
        <w:sz w:val="16"/>
        <w:szCs w:val="16"/>
      </w:rPr>
      <w:fldChar w:fldCharType="separate"/>
    </w:r>
    <w:r>
      <w:rPr>
        <w:rFonts w:ascii="Calibri" w:cs="Calibri" w:eastAsia="Calibri" w:hAnsi="Calibri"/>
        <w:color w:val="7F7F7F"/>
        <w:sz w:val="16"/>
        <w:szCs w:val="16"/>
      </w:rPr>
      <w:fldChar w:fldCharType="end"/>
    </w:r>
    <w:r>
      <w:rPr>
        <w:rFonts w:ascii="Calibri" w:cs="Calibri" w:eastAsia="Calibri" w:hAnsi="Calibri"/>
        <w:color w:val="7F7F7F"/>
        <w:sz w:val="16"/>
        <w:szCs w:val="16"/>
      </w:rPr>
      <w:t xml:space="preserve"> de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</w:r>
    <w:r>
      <w:rPr>
        <w:rFonts w:ascii="Calibri" w:cs="Calibri" w:eastAsia="Calibri" w:hAnsi="Calibri"/>
        <w:color w:val="7F7F7F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7F7F7F"/>
        <w:sz w:val="16"/>
        <w:szCs w:val="16"/>
      </w:rPr>
      <w:fldChar w:fldCharType="separate"/>
    </w:r>
    <w:r>
      <w:rPr>
        <w:rFonts w:ascii="Calibri" w:cs="Calibri" w:eastAsia="Calibri" w:hAnsi="Calibri"/>
        <w:color w:val="7F7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1"/>
        <w:szCs w:val="21"/>
      </w:rPr>
    </w:rPrDefault>
    <w:pPrDefault>
      <w:pPr>
        <w:spacing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Características técnicas para la integración de aplicaciones</dc:title>
  <dc:creator>Reporte de seguimiento</dc:creator>
  <dc:description>Requisitos de seguridad para la integración mediante token seguro de Moodle</dc:description>
  <cp:lastModifiedBy>Un-named</cp:lastModifiedBy>
  <cp:revision>1</cp:revision>
  <dcterms:created xsi:type="dcterms:W3CDTF">2026-10-19T19:06:50.980Z</dcterms:created>
  <dcterms:modified xsi:type="dcterms:W3CDTF">2026-10-19T19:06:50.981Z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