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200 pruebas v2 — ejemplos nuevos, post-correcciones</w:t>
      </w:r>
    </w:p>
    <w:p>
      <w:r>
        <w:t>Segunda tanda de evaluación de alucinaciones, con 200 preguntas NUEVAS (otras semanas, otros archivos, otros temas a los del primer batch), corrida después de aplicar los 3 fixes genéricos descritos en "Idania - Corrección de 3 Alucinaciones (Cambios Genéricos).docx". Objetivo: confirmar si esos fixes generalizan a ejemplos distintos a los que los motivaron, o si fueron un parche sobreajustado a las frases exactas del primer batch. Evaluación hecha contra el mismo espejo local de producción (Curso_1472 / Curso_1541), sin tocar producción.</w:t>
      </w:r>
    </w:p>
    <w:p>
      <w:pPr>
        <w:pStyle w:val="Heading1"/>
      </w:pPr>
      <w:r>
        <w:t>Resumen ejecutivo</w:t>
      </w:r>
    </w:p>
    <w:p>
      <w:r>
        <w:t>Con ejemplos nuevos, el resultado es PEOR que en el primer batch: 72.5% de aprobación (vs. 80.0% en el batch 1) y 14.5% de alucinaciones reales (vs. 9.5% en el batch 1). Los 3 fixes SÍ reducen la frecuencia de los patrones originales, pero ninguno los elimina por completo: los tres bugs reproducen con frases o campos distintos a los exactos que los motivaron, y el fix de "muestra vs. total" incluso generó un patrón de confusión nuevo y más severo en Curso_1541 (mezclar las semanas de las dos unidades en una sola cifra). Además aparecieron patrones de falla nuevos, no relacionados a los 3 fixes: una fila de plantilla ("Estudiante 1...Estudiante 35") de un xlsx leída como dato real de matrícula, y varias confusiones de navegación por semanas adyacentes.</w:t>
      </w:r>
    </w:p>
    <w:p>
      <w:r>
        <w:t>Lo que sigue sólido: fuera de alcance (100%) y adversarial temático (100%) se sostienen igual que en el batch 1. Conceptual sobre contenido real sigue siendo la categoría más confiable del RAG normal (86.7%, solo 2 alucinaciones de 30).</w:t>
      </w:r>
    </w:p>
    <w:p>
      <w:pPr>
        <w:pStyle w:val="Heading1"/>
      </w:pPr>
      <w:r>
        <w:t>Comparación batch 1 (ejemplos originales) vs. batch 2 (ejemplos nuevos)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Métrica</w:t>
            </w:r>
          </w:p>
        </w:tc>
        <w:tc>
          <w:tcPr>
            <w:tcW w:type="dxa" w:w="2160"/>
          </w:tcPr>
          <w:p>
            <w:r>
              <w:t>Batch 1 (200, original)</w:t>
            </w:r>
          </w:p>
        </w:tc>
        <w:tc>
          <w:tcPr>
            <w:tcW w:type="dxa" w:w="2160"/>
          </w:tcPr>
          <w:p>
            <w:r>
              <w:t>Batch 2 (200, nuevo)</w:t>
            </w:r>
          </w:p>
        </w:tc>
        <w:tc>
          <w:tcPr>
            <w:tcW w:type="dxa" w:w="2160"/>
          </w:tcPr>
          <w:p>
            <w:r>
              <w:t>Cambio</w:t>
            </w:r>
          </w:p>
        </w:tc>
      </w:tr>
      <w:tr>
        <w:tc>
          <w:tcPr>
            <w:tcW w:type="dxa" w:w="2160"/>
          </w:tcPr>
          <w:p>
            <w:r>
              <w:t>Pass rate</w:t>
            </w:r>
          </w:p>
        </w:tc>
        <w:tc>
          <w:tcPr>
            <w:tcW w:type="dxa" w:w="2160"/>
          </w:tcPr>
          <w:p>
            <w:r>
              <w:t>80.0%</w:t>
            </w:r>
          </w:p>
        </w:tc>
        <w:tc>
          <w:tcPr>
            <w:tcW w:type="dxa" w:w="2160"/>
          </w:tcPr>
          <w:p>
            <w:r>
              <w:t>72.5%</w:t>
            </w:r>
          </w:p>
        </w:tc>
        <w:tc>
          <w:tcPr>
            <w:tcW w:type="dxa" w:w="2160"/>
          </w:tcPr>
          <w:p>
            <w:r>
              <w:t>-7.5 pts (peor)</w:t>
            </w:r>
          </w:p>
        </w:tc>
      </w:tr>
      <w:tr>
        <w:tc>
          <w:tcPr>
            <w:tcW w:type="dxa" w:w="2160"/>
          </w:tcPr>
          <w:p>
            <w:r>
              <w:t>Hallucination rate</w:t>
            </w:r>
          </w:p>
        </w:tc>
        <w:tc>
          <w:tcPr>
            <w:tcW w:type="dxa" w:w="2160"/>
          </w:tcPr>
          <w:p>
            <w:r>
              <w:t>9.5%</w:t>
            </w:r>
          </w:p>
        </w:tc>
        <w:tc>
          <w:tcPr>
            <w:tcW w:type="dxa" w:w="2160"/>
          </w:tcPr>
          <w:p>
            <w:r>
              <w:t>14.5%</w:t>
            </w:r>
          </w:p>
        </w:tc>
        <w:tc>
          <w:tcPr>
            <w:tcW w:type="dxa" w:w="2160"/>
          </w:tcPr>
          <w:p>
            <w:r>
              <w:t>+5.0 pts (peor)</w:t>
            </w:r>
          </w:p>
        </w:tc>
      </w:tr>
      <w:tr>
        <w:tc>
          <w:tcPr>
            <w:tcW w:type="dxa" w:w="2160"/>
          </w:tcPr>
          <w:p>
            <w:r>
              <w:t>Fail rate</w:t>
            </w:r>
          </w:p>
        </w:tc>
        <w:tc>
          <w:tcPr>
            <w:tcW w:type="dxa" w:w="2160"/>
          </w:tcPr>
          <w:p>
            <w:r>
              <w:t>9.5%</w:t>
            </w:r>
          </w:p>
        </w:tc>
        <w:tc>
          <w:tcPr>
            <w:tcW w:type="dxa" w:w="2160"/>
          </w:tcPr>
          <w:p>
            <w:r>
              <w:t>10.5%</w:t>
            </w:r>
          </w:p>
        </w:tc>
        <w:tc>
          <w:tcPr>
            <w:tcW w:type="dxa" w:w="2160"/>
          </w:tcPr>
          <w:p>
            <w:r>
              <w:t>+1.0 pts (peor)</w:t>
            </w:r>
          </w:p>
        </w:tc>
      </w:tr>
      <w:tr>
        <w:tc>
          <w:tcPr>
            <w:tcW w:type="dxa" w:w="2160"/>
          </w:tcPr>
          <w:p>
            <w:r>
              <w:t>Partial rate</w:t>
            </w:r>
          </w:p>
        </w:tc>
        <w:tc>
          <w:tcPr>
            <w:tcW w:type="dxa" w:w="2160"/>
          </w:tcPr>
          <w:p>
            <w:r>
              <w:t>10.5%</w:t>
            </w:r>
          </w:p>
        </w:tc>
        <w:tc>
          <w:tcPr>
            <w:tcW w:type="dxa" w:w="2160"/>
          </w:tcPr>
          <w:p>
            <w:r>
              <w:t>17.0%</w:t>
            </w:r>
          </w:p>
        </w:tc>
        <w:tc>
          <w:tcPr>
            <w:tcW w:type="dxa" w:w="2160"/>
          </w:tcPr>
          <w:p>
            <w:r>
              <w:t>+6.5 pts (peor)</w:t>
            </w:r>
          </w:p>
        </w:tc>
      </w:tr>
      <w:tr>
        <w:tc>
          <w:tcPr>
            <w:tcW w:type="dxa" w:w="2160"/>
          </w:tcPr>
          <w:p>
            <w:r>
              <w:t>Confundió muestra con total (n, de 200)</w:t>
            </w:r>
          </w:p>
        </w:tc>
        <w:tc>
          <w:tcPr>
            <w:tcW w:type="dxa" w:w="2160"/>
          </w:tcPr>
          <w:p>
            <w:r>
              <w:t>3</w:t>
            </w:r>
          </w:p>
        </w:tc>
        <w:tc>
          <w:tcPr>
            <w:tcW w:type="dxa" w:w="2160"/>
          </w:tcPr>
          <w:p>
            <w:r>
              <w:t>6</w:t>
            </w:r>
          </w:p>
        </w:tc>
        <w:tc>
          <w:tcPr>
            <w:tcW w:type="dxa" w:w="2160"/>
          </w:tcPr>
          <w:p>
            <w:r>
              <w:t>+3 (peor)</w:t>
            </w:r>
          </w:p>
        </w:tc>
      </w:tr>
      <w:tr>
        <w:tc>
          <w:tcPr>
            <w:tcW w:type="dxa" w:w="2160"/>
          </w:tcPr>
          <w:p>
            <w:r>
              <w:t>Contaminación cruzada real (n, de 200)</w:t>
            </w:r>
          </w:p>
        </w:tc>
        <w:tc>
          <w:tcPr>
            <w:tcW w:type="dxa" w:w="2160"/>
          </w:tcPr>
          <w:p>
            <w:r>
              <w:t>6</w:t>
            </w:r>
          </w:p>
        </w:tc>
        <w:tc>
          <w:tcPr>
            <w:tcW w:type="dxa" w:w="2160"/>
          </w:tcPr>
          <w:p>
            <w:r>
              <w:t>8</w:t>
            </w:r>
          </w:p>
        </w:tc>
        <w:tc>
          <w:tcPr>
            <w:tcW w:type="dxa" w:w="2160"/>
          </w:tcPr>
          <w:p>
            <w:r>
              <w:t>+2 (peor)</w:t>
            </w:r>
          </w:p>
        </w:tc>
      </w:tr>
      <w:tr>
        <w:tc>
          <w:tcPr>
            <w:tcW w:type="dxa" w:w="2160"/>
          </w:tcPr>
          <w:p>
            <w:r>
              <w:t>Groundedness promedio (0-10)</w:t>
            </w:r>
          </w:p>
        </w:tc>
        <w:tc>
          <w:tcPr>
            <w:tcW w:type="dxa" w:w="2160"/>
          </w:tcPr>
          <w:p>
            <w:r>
              <w:t>8.47</w:t>
            </w:r>
          </w:p>
        </w:tc>
        <w:tc>
          <w:tcPr>
            <w:tcW w:type="dxa" w:w="2160"/>
          </w:tcPr>
          <w:p>
            <w:r>
              <w:t>8.32</w:t>
            </w:r>
          </w:p>
        </w:tc>
        <w:tc>
          <w:tcPr>
            <w:tcW w:type="dxa" w:w="2160"/>
          </w:tcPr>
          <w:p>
            <w:r>
              <w:t>-0.15 (peor)</w:t>
            </w:r>
          </w:p>
        </w:tc>
      </w:tr>
    </w:tbl>
    <w:p>
      <w:r>
        <w:t>Nota: una parte de este deterioro es esperable y metodológicamente sano — el batch 2 fue diseñado deliberadamente para cubrir semanas, archivos y frases MÁS variadas y menos favorables (ver Metodología), no para repetir los mismos casos ya arreglados. Aun así, la magnitud de la caída (-7.5 pts de pass rate, +5 pts de hallucination rate) indica que la cobertura real de los 3 fixes es más angosta de lo que el batch 1 por sí solo sugería.</w:t>
      </w:r>
    </w:p>
    <w:p>
      <w:pPr>
        <w:pStyle w:val="Heading1"/>
      </w:pPr>
      <w:r>
        <w:t>Resultado por categoría (batch 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Categoría</w:t>
            </w:r>
          </w:p>
        </w:tc>
        <w:tc>
          <w:tcPr>
            <w:tcW w:type="dxa" w:w="1728"/>
          </w:tcPr>
          <w:p>
            <w:r>
              <w:t>Preguntas</w:t>
            </w:r>
          </w:p>
        </w:tc>
        <w:tc>
          <w:tcPr>
            <w:tcW w:type="dxa" w:w="1728"/>
          </w:tcPr>
          <w:p>
            <w:r>
              <w:t>Aprobación batch 2</w:t>
            </w:r>
          </w:p>
        </w:tc>
        <w:tc>
          <w:tcPr>
            <w:tcW w:type="dxa" w:w="1728"/>
          </w:tcPr>
          <w:p>
            <w:r>
              <w:t>Alucinaciones batch 2</w:t>
            </w:r>
          </w:p>
        </w:tc>
        <w:tc>
          <w:tcPr>
            <w:tcW w:type="dxa" w:w="1728"/>
          </w:tcPr>
          <w:p>
            <w:r>
              <w:t>Aprobación batch 1</w:t>
            </w:r>
          </w:p>
        </w:tc>
      </w:tr>
      <w:tr>
        <w:tc>
          <w:tcPr>
            <w:tcW w:type="dxa" w:w="1728"/>
          </w:tcPr>
          <w:p>
            <w:r>
              <w:t>Docente + sinónimo + atributo extra</w:t>
            </w:r>
          </w:p>
        </w:tc>
        <w:tc>
          <w:tcPr>
            <w:tcW w:type="dxa" w:w="1728"/>
          </w:tcPr>
          <w:p>
            <w:r>
              <w:t>30</w:t>
            </w:r>
          </w:p>
        </w:tc>
        <w:tc>
          <w:tcPr>
            <w:tcW w:type="dxa" w:w="1728"/>
          </w:tcPr>
          <w:p>
            <w:r>
              <w:t>56.7%</w:t>
            </w:r>
          </w:p>
        </w:tc>
        <w:tc>
          <w:tcPr>
            <w:tcW w:type="dxa" w:w="1728"/>
          </w:tcPr>
          <w:p>
            <w:r>
              <w:t>13</w:t>
            </w:r>
          </w:p>
        </w:tc>
        <w:tc>
          <w:tcPr>
            <w:tcW w:type="dxa" w:w="1728"/>
          </w:tcPr>
          <w:p>
            <w:r>
              <w:t>53.3%</w:t>
            </w:r>
          </w:p>
        </w:tc>
      </w:tr>
      <w:tr>
        <w:tc>
          <w:tcPr>
            <w:tcW w:type="dxa" w:w="1728"/>
          </w:tcPr>
          <w:p>
            <w:r>
              <w:t>Campos estructurados básicos</w:t>
            </w:r>
          </w:p>
        </w:tc>
        <w:tc>
          <w:tcPr>
            <w:tcW w:type="dxa" w:w="1728"/>
          </w:tcPr>
          <w:p>
            <w:r>
              <w:t>30</w:t>
            </w:r>
          </w:p>
        </w:tc>
        <w:tc>
          <w:tcPr>
            <w:tcW w:type="dxa" w:w="1728"/>
          </w:tcPr>
          <w:p>
            <w:r>
              <w:t>73.3%</w:t>
            </w:r>
          </w:p>
        </w:tc>
        <w:tc>
          <w:tcPr>
            <w:tcW w:type="dxa" w:w="1728"/>
          </w:tcPr>
          <w:p>
            <w:r>
              <w:t>4</w:t>
            </w:r>
          </w:p>
        </w:tc>
        <w:tc>
          <w:tcPr>
            <w:tcW w:type="dxa" w:w="1728"/>
          </w:tcPr>
          <w:p>
            <w:r>
              <w:t>80.0%</w:t>
            </w:r>
          </w:p>
        </w:tc>
      </w:tr>
      <w:tr>
        <w:tc>
          <w:tcPr>
            <w:tcW w:type="dxa" w:w="1728"/>
          </w:tcPr>
          <w:p>
            <w:r>
              <w:t>Unidad / semana (muestra vs. total)</w:t>
            </w:r>
          </w:p>
        </w:tc>
        <w:tc>
          <w:tcPr>
            <w:tcW w:type="dxa" w:w="1728"/>
          </w:tcPr>
          <w:p>
            <w:r>
              <w:t>24</w:t>
            </w:r>
          </w:p>
        </w:tc>
        <w:tc>
          <w:tcPr>
            <w:tcW w:type="dxa" w:w="1728"/>
          </w:tcPr>
          <w:p>
            <w:r>
              <w:t>66.7%</w:t>
            </w:r>
          </w:p>
        </w:tc>
        <w:tc>
          <w:tcPr>
            <w:tcW w:type="dxa" w:w="1728"/>
          </w:tcPr>
          <w:p>
            <w:r>
              <w:t>3</w:t>
            </w:r>
          </w:p>
        </w:tc>
        <w:tc>
          <w:tcPr>
            <w:tcW w:type="dxa" w:w="1728"/>
          </w:tcPr>
          <w:p>
            <w:r>
              <w:t>70.8%</w:t>
            </w:r>
          </w:p>
        </w:tc>
      </w:tr>
      <w:tr>
        <w:tc>
          <w:tcPr>
            <w:tcW w:type="dxa" w:w="1728"/>
          </w:tcPr>
          <w:p>
            <w:r>
              <w:t>Evaluación / rúbricas / ponderación</w:t>
            </w:r>
          </w:p>
        </w:tc>
        <w:tc>
          <w:tcPr>
            <w:tcW w:type="dxa" w:w="1728"/>
          </w:tcPr>
          <w:p>
            <w:r>
              <w:t>20</w:t>
            </w:r>
          </w:p>
        </w:tc>
        <w:tc>
          <w:tcPr>
            <w:tcW w:type="dxa" w:w="1728"/>
          </w:tcPr>
          <w:p>
            <w:r>
              <w:t>75.0%</w:t>
            </w:r>
          </w:p>
        </w:tc>
        <w:tc>
          <w:tcPr>
            <w:tcW w:type="dxa" w:w="1728"/>
          </w:tcPr>
          <w:p>
            <w:r>
              <w:t>1</w:t>
            </w:r>
          </w:p>
        </w:tc>
        <w:tc>
          <w:tcPr>
            <w:tcW w:type="dxa" w:w="1728"/>
          </w:tcPr>
          <w:p>
            <w:r>
              <w:t>90.0%</w:t>
            </w:r>
          </w:p>
        </w:tc>
      </w:tr>
      <w:tr>
        <w:tc>
          <w:tcPr>
            <w:tcW w:type="dxa" w:w="1728"/>
          </w:tcPr>
          <w:p>
            <w:r>
              <w:t>Conceptual (contenido real)</w:t>
            </w:r>
          </w:p>
        </w:tc>
        <w:tc>
          <w:tcPr>
            <w:tcW w:type="dxa" w:w="1728"/>
          </w:tcPr>
          <w:p>
            <w:r>
              <w:t>30</w:t>
            </w:r>
          </w:p>
        </w:tc>
        <w:tc>
          <w:tcPr>
            <w:tcW w:type="dxa" w:w="1728"/>
          </w:tcPr>
          <w:p>
            <w:r>
              <w:t>86.7%</w:t>
            </w:r>
          </w:p>
        </w:tc>
        <w:tc>
          <w:tcPr>
            <w:tcW w:type="dxa" w:w="1728"/>
          </w:tcPr>
          <w:p>
            <w:r>
              <w:t>2</w:t>
            </w:r>
          </w:p>
        </w:tc>
        <w:tc>
          <w:tcPr>
            <w:tcW w:type="dxa" w:w="1728"/>
          </w:tcPr>
          <w:p>
            <w:r>
              <w:t>93.3%</w:t>
            </w:r>
          </w:p>
        </w:tc>
      </w:tr>
      <w:tr>
        <w:tc>
          <w:tcPr>
            <w:tcW w:type="dxa" w:w="1728"/>
          </w:tcPr>
          <w:p>
            <w:r>
              <w:t>Navegación (semana/archivo)</w:t>
            </w:r>
          </w:p>
        </w:tc>
        <w:tc>
          <w:tcPr>
            <w:tcW w:type="dxa" w:w="1728"/>
          </w:tcPr>
          <w:p>
            <w:r>
              <w:t>16</w:t>
            </w:r>
          </w:p>
        </w:tc>
        <w:tc>
          <w:tcPr>
            <w:tcW w:type="dxa" w:w="1728"/>
          </w:tcPr>
          <w:p>
            <w:r>
              <w:t>62.5%</w:t>
            </w:r>
          </w:p>
        </w:tc>
        <w:tc>
          <w:tcPr>
            <w:tcW w:type="dxa" w:w="1728"/>
          </w:tcPr>
          <w:p>
            <w:r>
              <w:t>4</w:t>
            </w:r>
          </w:p>
        </w:tc>
        <w:tc>
          <w:tcPr>
            <w:tcW w:type="dxa" w:w="1728"/>
          </w:tcPr>
          <w:p>
            <w:r>
              <w:t>87.5%</w:t>
            </w:r>
          </w:p>
        </w:tc>
      </w:tr>
      <w:tr>
        <w:tc>
          <w:tcPr>
            <w:tcW w:type="dxa" w:w="1728"/>
          </w:tcPr>
          <w:p>
            <w:r>
              <w:t>Fuera de alcance</w:t>
            </w:r>
          </w:p>
        </w:tc>
        <w:tc>
          <w:tcPr>
            <w:tcW w:type="dxa" w:w="1728"/>
          </w:tcPr>
          <w:p>
            <w:r>
              <w:t>16</w:t>
            </w:r>
          </w:p>
        </w:tc>
        <w:tc>
          <w:tcPr>
            <w:tcW w:type="dxa" w:w="1728"/>
          </w:tcPr>
          <w:p>
            <w:r>
              <w:t>100.0%</w:t>
            </w:r>
          </w:p>
        </w:tc>
        <w:tc>
          <w:tcPr>
            <w:tcW w:type="dxa" w:w="1728"/>
          </w:tcPr>
          <w:p>
            <w:r>
              <w:t>0</w:t>
            </w:r>
          </w:p>
        </w:tc>
        <w:tc>
          <w:tcPr>
            <w:tcW w:type="dxa" w:w="1728"/>
          </w:tcPr>
          <w:p>
            <w:r>
              <w:t>100.0%</w:t>
            </w:r>
          </w:p>
        </w:tc>
      </w:tr>
      <w:tr>
        <w:tc>
          <w:tcPr>
            <w:tcW w:type="dxa" w:w="1728"/>
          </w:tcPr>
          <w:p>
            <w:r>
              <w:t>Sin respuesta / control</w:t>
            </w:r>
          </w:p>
        </w:tc>
        <w:tc>
          <w:tcPr>
            <w:tcW w:type="dxa" w:w="1728"/>
          </w:tcPr>
          <w:p>
            <w:r>
              <w:t>16</w:t>
            </w:r>
          </w:p>
        </w:tc>
        <w:tc>
          <w:tcPr>
            <w:tcW w:type="dxa" w:w="1728"/>
          </w:tcPr>
          <w:p>
            <w:r>
              <w:t>81.2%</w:t>
            </w:r>
          </w:p>
        </w:tc>
        <w:tc>
          <w:tcPr>
            <w:tcW w:type="dxa" w:w="1728"/>
          </w:tcPr>
          <w:p>
            <w:r>
              <w:t>1</w:t>
            </w:r>
          </w:p>
        </w:tc>
        <w:tc>
          <w:tcPr>
            <w:tcW w:type="dxa" w:w="1728"/>
          </w:tcPr>
          <w:p>
            <w:r>
              <w:t>93.8%</w:t>
            </w:r>
          </w:p>
        </w:tc>
      </w:tr>
      <w:tr>
        <w:tc>
          <w:tcPr>
            <w:tcW w:type="dxa" w:w="1728"/>
          </w:tcPr>
          <w:p>
            <w:r>
              <w:t>Adversarial temático</w:t>
            </w:r>
          </w:p>
        </w:tc>
        <w:tc>
          <w:tcPr>
            <w:tcW w:type="dxa" w:w="1728"/>
          </w:tcPr>
          <w:p>
            <w:r>
              <w:t>10</w:t>
            </w:r>
          </w:p>
        </w:tc>
        <w:tc>
          <w:tcPr>
            <w:tcW w:type="dxa" w:w="1728"/>
          </w:tcPr>
          <w:p>
            <w:r>
              <w:t>100.0%</w:t>
            </w:r>
          </w:p>
        </w:tc>
        <w:tc>
          <w:tcPr>
            <w:tcW w:type="dxa" w:w="1728"/>
          </w:tcPr>
          <w:p>
            <w:r>
              <w:t>0</w:t>
            </w:r>
          </w:p>
        </w:tc>
        <w:tc>
          <w:tcPr>
            <w:tcW w:type="dxa" w:w="1728"/>
          </w:tcPr>
          <w:p>
            <w:r>
              <w:t>100.0%</w:t>
            </w:r>
          </w:p>
        </w:tc>
      </w:tr>
      <w:tr>
        <w:tc>
          <w:tcPr>
            <w:tcW w:type="dxa" w:w="1728"/>
          </w:tcPr>
          <w:p>
            <w:r>
              <w:t>Contaminación cruzada entre cursos</w:t>
            </w:r>
          </w:p>
        </w:tc>
        <w:tc>
          <w:tcPr>
            <w:tcW w:type="dxa" w:w="1728"/>
          </w:tcPr>
          <w:p>
            <w:r>
              <w:t>8</w:t>
            </w:r>
          </w:p>
        </w:tc>
        <w:tc>
          <w:tcPr>
            <w:tcW w:type="dxa" w:w="1728"/>
          </w:tcPr>
          <w:p>
            <w:r>
              <w:t>0.0%</w:t>
            </w:r>
          </w:p>
        </w:tc>
        <w:tc>
          <w:tcPr>
            <w:tcW w:type="dxa" w:w="1728"/>
          </w:tcPr>
          <w:p>
            <w:r>
              <w:t>1</w:t>
            </w:r>
          </w:p>
        </w:tc>
        <w:tc>
          <w:tcPr>
            <w:tcW w:type="dxa" w:w="1728"/>
          </w:tcPr>
          <w:p>
            <w:r>
              <w:t>25.0%</w:t>
            </w:r>
          </w:p>
        </w:tc>
      </w:tr>
    </w:tbl>
    <w:p>
      <w:pPr>
        <w:pStyle w:val="Heading1"/>
      </w:pPr>
      <w:r>
        <w:t>¿Los 3 fixes generalizan a ejemplos nuevos?</w:t>
      </w:r>
    </w:p>
    <w:p>
      <w:pPr>
        <w:pStyle w:val="Heading2"/>
      </w:pPr>
      <w:r>
        <w:t>Fix #1 — docente + sinónimo + atributo extra: mejora parcial, mismo bug reaparece</w:t>
      </w:r>
    </w:p>
    <w:p>
      <w:r>
        <w:t>Batch 1: 53.3% de aprobación, 14/30 alucinaciones. Batch 2: 56.7% de aprobación, 13/30 alucinaciones — prácticamente el mismo nivel de falla con frases distintas. El fix (respaldo semántico palabra por palabra en _semantic_detect_field()) SÍ funciona cuando la pregunta contiene al menos una palabra cercana a "docente" (profesor, maestro, tutor, catedrático, profe). Pero fallan sistemáticamente dos patrones que el batch 1 no había probado:</w:t>
      </w:r>
    </w:p>
    <w:p>
      <w:pPr>
        <w:pStyle w:val="ListBullet"/>
      </w:pPr>
      <w:r>
        <w:t>(a) Preguntas perifrásticas SIN ninguna palabra sinónimo de "docente": "quien dicta este curso...?", "la persona que dicta el curso", "quien es la persona responsable de calificarnos". El respaldo palabra-por-palabra no tiene ninguna palabra individual que matchee "docente" con margen suficiente, así que cae a la ruta genérica de RAG.</w:t>
      </w:r>
    </w:p>
    <w:p>
      <w:pPr>
        <w:pStyle w:val="ListBullet"/>
      </w:pPr>
      <w:r>
        <w:t>(b) En Curso_1472 específicamente, reapareció la MISMA persona inventada del batch 1 ("Jorge Manrique Chávez", un ponente invitado mencionado en un video de la semana 13) en 3 de las 15 preguntas nuevas, cuando la pregunta combina un sinónimo de docente con la palabra "correo": id 2 ("necesito hablar con la profe, me pasas su correo?"), id 4 ("quien dicta este curso y a que correo le escribo?"), id 9 ("me confirmas el nombre y correo de la persona que dicta el curso?"). La misma combinación de palabras en Curso_1541 NO reprodujo un nombre inventado (ese curso no tiene un chunk distractor equivalente), lo que sugiere que además de la dilución semántica, hay una competencia de retrieval específica del contenido indexado de cada curso que el fix actual no cubre.</w:t>
      </w:r>
    </w:p>
    <w:p>
      <w:pPr/>
      <w:r>
        <w:rPr>
          <w:b/>
        </w:rPr>
        <w:t>“necesito hablar con la profe, me pasas su correo?” — Curso_1472</w:t>
      </w:r>
    </w:p>
    <w:p>
      <w:r>
        <w:t xml:space="preserve">Respondió: No tengo la información específica sobre el correo de la profesora. Sin embargo, puedes intentar comunicarte con el correo institucional que se menciona en el material: Jorge.manrique.ch@ch.pch.p. Este correo pertenece a Jorge Manrique Chávez, quien parece estar disponible para consultas. Te sugiero que le escribas para obtener más detalles o para que te pueda ayudar a contactar a la profesora. </w:t>
        <w:br/>
        <w:br/>
        <w:t>Si necesitas más información sobre el curso o algún tema específico, no dudes en preguntar.</w:t>
      </w:r>
    </w:p>
    <w:p>
      <w:r>
        <w:t>Problema: Idania proporcionó un correo electrónico (Jorge.manrique.ch@ch.pch.p) que no corresponde al docente del curso, que es Bernuy Torres Luis Alexis.</w:t>
      </w:r>
    </w:p>
    <w:p>
      <w:pPr>
        <w:pStyle w:val="Heading2"/>
      </w:pPr>
      <w:r>
        <w:t>Fix #2 — modalidad vs. forma de desarrollo: reaparece con frases que no activan el campo estructurado</w:t>
      </w:r>
    </w:p>
    <w:p>
      <w:r>
        <w:t>Batch 1 (Curso_1541): "el curso es presencial o virtual?" y "el curso se dicta de forma presencial cierto?" fallaban — ambas corregidas y verificadas (no reprodujeron en batch 2 con esas frases exactas). Pero dos frases nuevas con la misma intención SÍ vuelven a fallar: "el curso se lleva de forma presencial o es virtual?" (id 116) y "las clases son presenciales verdad?" (id 124), ambas afirmando "presencial" cuando el dato real es forma_desarrollo=Virtual sincrónica.</w:t>
      </w:r>
    </w:p>
    <w:p>
      <w:r>
        <w:t>Dato relevante: en ambos casos la fuente citada es "SESION_05_FILOSOFIA_DE_LA_EDUCACION_2026II__46881.pdf" (un documento de sesión semanal), no el sílabo. Esto es consistente con que estas frases nuevas no disparan la resolución estructurada de campo en absoluto (donde vive el fix de jerarquía is_repeated_template) y caen directo a retrieval genérico, que no tiene esa misma protección contra filas de plantilla repetida.</w:t>
      </w:r>
    </w:p>
    <w:p>
      <w:pPr/>
      <w:r>
        <w:rPr>
          <w:b/>
        </w:rPr>
        <w:t>“el curso se lleva de forma presencial o es virtual?” — Curso_1541</w:t>
      </w:r>
    </w:p>
    <w:p>
      <w:r>
        <w:t xml:space="preserve">Respondió: El curso se desarrolla de forma **presencial**, pero la modalidad de la asignatura es **virtual sincrónica**. Esto significa que las clases se imparten en un formato que combina ambos enfoques. </w:t>
        <w:br/>
        <w:br/>
        <w:t>[Fuente: SESION_05_FILOSOFIA_DE_LA_EDUCACION_2026II__46881.pdf, semana/sección: Semana 5]</w:t>
      </w:r>
    </w:p>
    <w:p>
      <w:r>
        <w:t>Problema: Idania afirma que el curso se desarrolla de forma presencial, lo cual es incorrecto ya que la forma de desarrollo es virtual sincrónica.</w:t>
      </w:r>
    </w:p>
    <w:p>
      <w:pPr>
        <w:pStyle w:val="Heading2"/>
      </w:pPr>
      <w:r>
        <w:t>Fix #3 — muestra vs. total: mejora en el patrón conocido, pero aparece un patrón NUEVO y más severo</w:t>
      </w:r>
    </w:p>
    <w:p>
      <w:r>
        <w:t>Para el patrón que motivó el fix (Curso_1472, muestra chica: 3 de 8 semanas), el resultado mejoró de forma real: ya no se vieron respuestas confiadas pero incorrectas del tipo "la Unidad I tiene un total de tres semanas" (el error exacto del batch 1). En su lugar, el modelo tiende a abstenerse ("no encontré información específica sobre la duración total de la Unidad I") — más seguro, pero sigue sin dar el dato correcto (8 semanas), así que queda en "partial" en vez de "pass".</w:t>
      </w:r>
    </w:p>
    <w:p>
      <w:r>
        <w:t>El hallazgo nuevo y más preocupante es en Curso_1541, que tiene el patrón INVERSO (verificado en IU_Evaluacion_Rapida_Filosofia_de_la_Educacion_2026-II.xlsx): la nota de participación usa CASI TODAS las semanas de la unidad (7 de 8, excluyendo solo la semana de examen), no una muestra chica. Ante este patrón más complejo, el modelo no solo falla en dar el total correcto — inventa un número nuevo mezclando las semanas de AMBAS unidades: id 131 respondió que la "Unidad I" dura "12 semanas", sumando "semanas 1 a 7" (que sí son de la Unidad I) con "semanas 9 a 15" (que son de la Unidad II), y el id 137 llegó a decir que hay "14 unidades de análisis y aplicación". Es decir: el fix evita el error original (confundir una muestra chica con el total) pero no cubre el caso donde hay DOS muestras casi-totales (una por unidad) — ahí el modelo las combina en una alucinación nueva.</w:t>
      </w:r>
    </w:p>
    <w:p>
      <w:pPr/>
      <w:r>
        <w:rPr>
          <w:b/>
        </w:rPr>
        <w:t>“la unidad 1 completa dura cuantas semanas?” — Curso_1541</w:t>
      </w:r>
    </w:p>
    <w:p>
      <w:r>
        <w:t xml:space="preserve">Respondió: La **Unidad I** del curso, que abarca las **semanas 1 a 7** y **9 a 15**, se desarrolla a lo largo de **12 semanas** en total. Las semanas 8 y 16 están destinadas a evaluaciones sumativas, por lo que no forman parte de la unidad en sí. </w:t>
        <w:br/>
        <w:br/>
        <w:t xml:space="preserve">Por lo tanto, la duración de la unidad 1 es de **12 semanas**. </w:t>
        <w:br/>
        <w:br/>
        <w:t>[Fuente: SILABO_FILOSOFIA_DE_LA_EDUCACION_2026II_ALINEADO_CORREGIDO.pdf, semana/sección: General]</w:t>
      </w:r>
    </w:p>
    <w:p>
      <w:r>
        <w:t>Problema: Idania afirma que la Unidad I abarca las semanas 1 a 7 y 9 a 15, lo que suma 12 semanas, pero no considera que la pregunta se refiere a la duración total de la unidad, que es de 8 semanas.</w:t>
      </w:r>
    </w:p>
    <w:p>
      <w:pPr>
        <w:pStyle w:val="Heading1"/>
      </w:pPr>
      <w:r>
        <w:t>Patrones de falla nuevos (no relacionados a los 3 fixes)</w:t>
      </w:r>
    </w:p>
    <w:p>
      <w:pPr>
        <w:pStyle w:val="Heading2"/>
      </w:pPr>
      <w:r>
        <w:t>Fila de plantilla de un xlsx leída como dato real ("35 estudiantes matriculados")</w:t>
      </w:r>
    </w:p>
    <w:p>
      <w:r>
        <w:t xml:space="preserve">Los registros de participación y desempeño en xlsx (de ambos cursos) traen una hoja de plantilla con placeholders literales "Estudiante 1", "Estudiante 2", ... "Estudiante 35" y la instrucción "Reemplace Estudiante 1, Estudiante 2 por los apellidos y nombres reales". Ante “cuantos alumnos hay matriculados en mi seccion?” (Curso_1541), Idania citó ese xlsx y respondió: “En el material recuperado, se menciona un total de **35 estudiantes** en la sección correspondiente. Esto se puede observar en los fragmentos donde se enumeran los estudiantes del 1 al 35. </w:t>
        <w:br/>
        <w:br/>
        <w:t>Si necesitas más información ...”. Problema: Idania menciona un total de 35 estudiantes, pero no hay evidencia que confirme este número específico en el material proporcionado. Recomendación: filtrar estas filas de placeholder en la extracción/indexado de xlsx, o marcarlas explícitamente como plantilla (mismo mecanismo is_repeated_template ya usado para otras tablas).</w:t>
      </w:r>
    </w:p>
    <w:p>
      <w:pPr>
        <w:pStyle w:val="Heading2"/>
      </w:pPr>
      <w:r>
        <w:t>Navegación: confusión entre semanas adyacentes o paralelas</w:t>
      </w:r>
    </w:p>
    <w:p>
      <w:r>
        <w:t>4 de 16 preguntas de navegación (25%) citaron una semana distinta a la real, casi siempre una semana cercana o con un rol paralelo en la otra unidad:</w:t>
      </w:r>
    </w:p>
    <w:p>
      <w:pPr>
        <w:pStyle w:val="ListBullet"/>
      </w:pPr>
      <w:r>
        <w:t>id 68: "en que semana veo la historia del colegio odontologico del peru?" → respondió Semana 03 (correcta: Semana 04; el material real tiene el rótulo "Senana 04", con error de tipeo en el propio dato fuente).</w:t>
      </w:r>
    </w:p>
    <w:p>
      <w:pPr>
        <w:pStyle w:val="ListBullet"/>
      </w:pPr>
      <w:r>
        <w:t>id 170: "en que semana es la evaluacion sumativa de la unidad 2?" → respondió Semana 8 (correcta: Semana 16; confundió el examen de la Unidad I con el de la Unidad II — mismo rol, unidad distinta).</w:t>
      </w:r>
    </w:p>
    <w:p>
      <w:pPr>
        <w:pStyle w:val="ListBullet"/>
      </w:pPr>
      <w:r>
        <w:t>id 172: "en que semana se analiza la coherencia entre fundamentos y decisiones educativas?" → respondió Semana 3 (correcta: Semana 13; posible confusión por similitud temática entre los materiales de ambas semanas).</w:t>
      </w:r>
    </w:p>
    <w:p>
      <w:pPr>
        <w:pStyle w:val="ListBullet"/>
      </w:pPr>
      <w:r>
        <w:t>id 174: "en que semana veo el idealismo platonico y el pragmatismo de dewey comparados?" → respondió Semana 2 (correcta: Semana 4).</w:t>
      </w:r>
    </w:p>
    <w:p>
      <w:pPr>
        <w:pStyle w:val="Heading2"/>
      </w:pPr>
      <w:r>
        <w:t>Mapeo semana↔actividad evaluable (AF1/IF/AF2/RSU) impreciso</w:t>
      </w:r>
    </w:p>
    <w:p>
      <w:r>
        <w:t>“en que semana esta la actividad AF1 de la unidad 1?” (Curso_1541) → respondió Semana 6 (correcta: Semana 4), citando además una fuente de la semana 6 (U1_AF2_Matriz_Comparativa_Argumentada.pdf) como si correspondiera a la actividad AF1. No es parte de los 3 bugs corregidos, pero es el mismo tipo de riesgo: material de una semana vecina usado con seguridad para responder sobre otra.</w:t>
      </w:r>
    </w:p>
    <w:p>
      <w:pPr>
        <w:pStyle w:val="Heading2"/>
      </w:pPr>
      <w:r>
        <w:t>Contaminación cruzada entre cursos sigue siendo el punto más débil (0% en batch 2, 25% en batch 1)</w:t>
      </w:r>
    </w:p>
    <w:p>
      <w:r>
        <w:t>En ningún batch hubo alucinaciones reales graves en esta categoría (0 en batch 1, 1 en batch 2 de 8), pero el estilo de respuesta rara vez cumple del todo el comportamiento esperado ("redirigir_otro_curso"): unas veces se abstiene sin ofrecer redirigir explícitamente al curso correcto, otras responde con conocimiento general sin dejar claro que no está fundamentado en el material del curso actual (ej. id 97, explicó el pragmatismo de Dewey en detalle estando en la colección de Curso_1472, sin fuente citada). No es un problema nuevo — ya se veía en el batch 1 — pero con 0% de aprobación en batch 2 queda claro que sigue sin abordarse.</w:t>
      </w:r>
    </w:p>
    <w:p>
      <w:pPr>
        <w:pStyle w:val="Heading1"/>
      </w:pPr>
      <w:r>
        <w:t>Lo que sigue funcionando bien (validado con ejemplos nuevos)</w:t>
      </w:r>
    </w:p>
    <w:p>
      <w:pPr>
        <w:pStyle w:val="ListBullet"/>
      </w:pPr>
      <w:r>
        <w:t>Fuera de alcance: 100% de aprobación en 16 preguntas nuevas (cálculos, cultura general, otras materias) — igual que en el batch 1.</w:t>
      </w:r>
    </w:p>
    <w:p>
      <w:pPr>
        <w:pStyle w:val="ListBullet"/>
      </w:pPr>
      <w:r>
        <w:t>Adversarial temático: 100% de aprobación en 10 preguntas nuevas — no reaparece alucinación de campo por mucho contexto temático sin dato real.</w:t>
      </w:r>
    </w:p>
    <w:p>
      <w:pPr>
        <w:pStyle w:val="ListBullet"/>
      </w:pPr>
      <w:r>
        <w:t>Conceptual sobre contenido real: 86.7% de aprobación, solo 2 alucinaciones de 30 — el RAG normal (sin campos estructurados) sigue siendo sólido para explicar temas nuevos verificados (instrumental dental antiguo, sistema de notación FDI/Haderup, corrientes filosóficas, criterios de evaluación filosófica de decisiones, etc.).</w:t>
      </w:r>
    </w:p>
    <w:p>
      <w:pPr>
        <w:pStyle w:val="ListBullet"/>
      </w:pPr>
      <w:r>
        <w:t>Sin respuesta / control: 81.2% de aprobación — se sigue absteniendo correctamente casi siempre ante datos que genuinamente no existen en el curso.</w:t>
      </w:r>
    </w:p>
    <w:p>
      <w:pPr>
        <w:pStyle w:val="Heading1"/>
      </w:pPr>
      <w:r>
        <w:t>Recomendaciones priorizadas</w:t>
      </w:r>
    </w:p>
    <w:p>
      <w:r>
        <w:t>1. Urgente — extender el respaldo de detección de campo a preguntas perifrásticas sin palabra-sinónimo</w:t>
      </w:r>
    </w:p>
    <w:p>
      <w:r>
        <w:t>El respaldo palabra-por-palabra (Fix #1) requiere que AL MENOS una palabra de la pregunta matchee semánticamente el campo. Preguntas como "quien dicta este curso" o "la persona responsable de calificarnos" no tienen ninguna palabra así y siguen cayendo a retrieval genérico, donde compiten con chunks irrelevantes (ej. el ponente invitado de un video). Evaluar un tercer nivel de respaldo: embeber la pregunta completa contra una paráfrasis genérica del campo (no solo su nombre), o subir la prioridad del índice de campos estructurados sobre retrieval genérico cuando la intención de la pregunta (detectable por patrones como "quien...", "quien dicta", "responsable de") sugiere un dato de persona/contacto, incluso sin matchear ninguna palabra individual.</w:t>
      </w:r>
    </w:p>
    <w:p>
      <w:r>
        <w:t>2. Urgente — revisar por qué ciertas frases de modalidad no activan la resolución estructurada</w:t>
      </w:r>
    </w:p>
    <w:p>
      <w:r>
        <w:t>"el curso se lleva de forma presencial o es virtual?" y "las clases son presenciales verdad?" terminan citando un documento de sesión semanal en vez del sílabo, lo que sugiere que no pasan por _detect_row_by_value()/resolve_field() en absoluto. Si la intención (¿es presencial o virtual?) se puede detectar de forma genérica, forzar que este tipo de pregunta pase siempre por la resolución estructurada antes de caer a retrieval genérico.</w:t>
      </w:r>
    </w:p>
    <w:p>
      <w:r>
        <w:t>3. Medio — generalizar la instrucción de "muestra vs. total" al caso de DOS muestras (una por unidad)</w:t>
      </w:r>
    </w:p>
    <w:p>
      <w:r>
        <w:t>El fix actual reduce la confianza indebida pero no evita que el modelo mezcle las semanas de dos unidades distintas cuando cada una tiene su propia muestra grande. Reforzar el prompt para que, ante una pregunta sobre UNA unidad específica, filtre explícitamente los fragmentos que corresponden a la unidad preguntada antes de sumar/contar semanas.</w:t>
      </w:r>
    </w:p>
    <w:p>
      <w:r>
        <w:t>4. Medio — filtrar filas de plantilla/placeholder en la extracción de xlsx</w:t>
      </w:r>
    </w:p>
    <w:p>
      <w:r>
        <w:t>"Estudiante 1".."Estudiante 35" (instrucción de plantilla, no datos reales de matrícula) se puede citar como si fuera el número real de alumnos. Aplicar el mismo criterio de is_repeated_template (o una regla de detección de placeholders) a este tipo de fila antes de indexarla o de dejar que el generador la use como evidencia numérica.</w:t>
      </w:r>
    </w:p>
    <w:p>
      <w:r>
        <w:t>5. Bajo — mejorar consistencia de redirect en contaminación cruzada</w:t>
      </w:r>
    </w:p>
    <w:p>
      <w:r>
        <w:t>0 alucinaciones graves, pero el estilo de respuesta rara vez ofrece explícitamente redirigir al curso correcto o aclara que respondió con conocimiento general no fundamentado en el curso actual (ej. id 97). No es urgente por exactitud, sí por claridad para el estudiante.</w:t>
      </w:r>
    </w:p>
    <w:p>
      <w:pPr>
        <w:pStyle w:val="Heading1"/>
      </w:pPr>
      <w:r>
        <w:t>Metodología</w:t>
      </w:r>
    </w:p>
    <w:p>
      <w:pPr>
        <w:pStyle w:val="ListBullet"/>
      </w:pPr>
      <w:r>
        <w:t>Datos: mismo espejo local de producción usado en el batch 1 (Curso_1472: 4 337 puntos, Curso_1541: 3 593 puntos), sin tocar producción.</w:t>
      </w:r>
    </w:p>
    <w:p>
      <w:pPr>
        <w:pStyle w:val="ListBullet"/>
      </w:pPr>
      <w:r>
        <w:t>200 preguntas NUEVAS (100 por curso), mismas 10 categorías que el batch 1, pero sobre semanas/archivos que el batch 1 casi no tocó — verificado explorando con Qdrant scroll() los document_filename/section_name reales de ambas colecciones antes de escribir las preguntas (ver build_eval_dataset_200_v2.py).</w:t>
      </w:r>
    </w:p>
    <w:p>
      <w:pPr>
        <w:pStyle w:val="ListBullet"/>
      </w:pPr>
      <w:r>
        <w:t>Todo known_fact de categoría conceptual, navegación y unidad/semana se verificó leyendo directamente el texto real de los chunks indexados (no se inventó ningún dato) — incluyendo dos hallazgos nuevos usados como ground truth: el patrón de muestra chica de Curso_1472 (S1+S3+S4 / S9+S12+S13) confirmado también para nueva semana 4/5/6/7/10/13/14, y el patrón inverso de Curso_1541 (S1-S7 excluye solo S8; S9-S15 excluye solo S16), verificados en los xlsx REGISTRO_...2026.xlsx e IU_Evaluacion_Rapida_...2026-II.xlsx.</w:t>
      </w:r>
    </w:p>
    <w:p>
      <w:pPr>
        <w:pStyle w:val="ListBullet"/>
      </w:pPr>
      <w:r>
        <w:t>Se incluyeron regresiones de los 3 bugs corregidos con frases y campos DISTINTOS a los ya probados en el batch 1, para medir generalización real y no solo memorización de las frases exactas del reporte anterior.</w:t>
      </w:r>
    </w:p>
    <w:p>
      <w:pPr>
        <w:pStyle w:val="ListBullet"/>
      </w:pPr>
      <w:r>
        <w:t>Juez: mismo modelo y rúbrica estricta de grounding que el batch 1 (gpt-4o-mini, con el dato real verificado incluido en el prompt cuando existía) — se validó antes de correr el batch completo que el juez sigue detectando correctamente tanto respuestas correctas fundamentadas como alucinaciones reales conocidas.</w:t>
      </w:r>
    </w:p>
    <w:p>
      <w:pPr>
        <w:pStyle w:val="ListBullet"/>
      </w:pPr>
      <w:r>
        <w:t>Pipeline evaluado: rag_pipeline.answer_query() completo (mismo pipeline real que producción), con los 3 fixes de esta sesión ya aplicados en campos_estructurados.py y strategies/generation.py.</w:t>
      </w:r>
    </w:p>
    <w:p>
      <w:pPr>
        <w:pStyle w:val="Heading1"/>
      </w:pPr>
      <w:r>
        <w:t>Conclusión</w:t>
      </w:r>
    </w:p>
    <w:p>
      <w:r>
        <w:t>Los 3 fixes NO fueron un sobreajuste vacío a las frases exactas del batch 1 — reducen realmente la frecuencia de cada patrón cuando la pregunta se parece razonablemente al caso que los motivó. Pero ninguno generaliza por completo: los tres bugs siguen siendo reproducibles con ejemplos nuevos suficientemente distintos (perífrasis sin palabra clave, frases de modalidad que no activan la resolución estructurada, y un patrón de "muestra vs. total" más complejo con dos unidades). El resultado neto en este batch — pass rate más bajo y hallucination rate más alto que el batch 1 — no significa que el sistema haya empeorado; significa que el batch 1 medía una porción más fácil del problema real. Recomendación: no dar estos 3 fixes por cerrados; usar los hallazgos de este documento (sección "Recomendaciones priorizadas") como la siguiente ronda de trabajo antes de considerar el problema de alucinaciones resuelto.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