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de los asistentes Idania — Curso_1472 y Curso_1541</w:t>
      </w:r>
    </w:p>
    <w:p>
      <w:r>
        <w:rPr>
          <w:b w:val="0"/>
          <w:i/>
        </w:rPr>
        <w:t>Cómo están armados, concretamente, los 2 asistentes de prueba trabajados toda la sesión: el asistente id=23 (RD13, atiende entre otros a Curso_1472) y el asistente id=14 (RD3, atiende entre otros a Curso_1541). Todos los valores de esta ficha se leyeron en vivo de Postgres/Qdrant al momento de escribir este documento — no son ilustrativos.</w:t>
      </w:r>
    </w:p>
    <w:p>
      <w:pPr>
        <w:pStyle w:val="Heading1"/>
      </w:pPr>
      <w:r>
        <w:t>1. Los 2 asistentes, uno al lado del otro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Asistente id=23 (1472)</w:t>
            </w:r>
          </w:p>
        </w:tc>
        <w:tc>
          <w:tcPr>
            <w:tcW w:type="dxa" w:w="2880"/>
          </w:tcPr>
          <w:p>
            <w:r>
              <w:rPr>
                <w:b/>
              </w:rPr>
              <w:t>Asistente id=14 (1541)</w:t>
            </w:r>
          </w:p>
        </w:tc>
      </w:tr>
      <w:tr>
        <w:tc>
          <w:tcPr>
            <w:tcW w:type="dxa" w:w="2880"/>
          </w:tcPr>
          <w:p>
            <w:r>
              <w:t>Nombre público</w:t>
            </w:r>
          </w:p>
        </w:tc>
        <w:tc>
          <w:tcPr>
            <w:tcW w:type="dxa" w:w="2880"/>
          </w:tcPr>
          <w:p>
            <w:r>
              <w:t>Idania</w:t>
            </w:r>
          </w:p>
        </w:tc>
        <w:tc>
          <w:tcPr>
            <w:tcW w:type="dxa" w:w="2880"/>
          </w:tcPr>
          <w:p>
            <w:r>
              <w:t>Idania</w:t>
            </w:r>
          </w:p>
        </w:tc>
      </w:tr>
      <w:tr>
        <w:tc>
          <w:tcPr>
            <w:tcW w:type="dxa" w:w="2880"/>
          </w:tcPr>
          <w:p>
            <w:r>
              <w:t>Token (URL pública)</w:t>
            </w:r>
          </w:p>
        </w:tc>
        <w:tc>
          <w:tcPr>
            <w:tcW w:type="dxa" w:w="2880"/>
          </w:tcPr>
          <w:p>
            <w:r>
              <w:t>Q3rF7vMx5TaZ9p</w:t>
            </w:r>
          </w:p>
        </w:tc>
        <w:tc>
          <w:tcPr>
            <w:tcW w:type="dxa" w:w="2880"/>
          </w:tcPr>
          <w:p>
            <w:r>
              <w:t>R4vX9mQa7LdT2s</w:t>
            </w:r>
          </w:p>
        </w:tc>
      </w:tr>
      <w:tr>
        <w:tc>
          <w:tcPr>
            <w:tcW w:type="dxa" w:w="2880"/>
          </w:tcPr>
          <w:p>
            <w:r>
              <w:t>RD a la que pertenece</w:t>
            </w:r>
          </w:p>
        </w:tc>
        <w:tc>
          <w:tcPr>
            <w:tcW w:type="dxa" w:w="2880"/>
          </w:tcPr>
          <w:p>
            <w:r>
              <w:t>RD13 — RD-PRE-ODONTOLOGIA-PR-INTRODUCCION A LA ODONTOLOGIA</w:t>
            </w:r>
          </w:p>
        </w:tc>
        <w:tc>
          <w:tcPr>
            <w:tcW w:type="dxa" w:w="2880"/>
          </w:tcPr>
          <w:p>
            <w:r>
              <w:t>RD3 — RD-PRE-EDUCACION-VI-FILOSOFIA DE LA EDUCACION</w:t>
            </w:r>
          </w:p>
        </w:tc>
      </w:tr>
      <w:tr>
        <w:tc>
          <w:tcPr>
            <w:tcW w:type="dxa" w:w="2880"/>
          </w:tcPr>
          <w:p>
            <w:r>
              <w:t>Colección Qdrant para este courseid</w:t>
            </w:r>
          </w:p>
        </w:tc>
        <w:tc>
          <w:tcPr>
            <w:tcW w:type="dxa" w:w="2880"/>
          </w:tcPr>
          <w:p>
            <w:r>
              <w:t>Curso_1472</w:t>
            </w:r>
          </w:p>
        </w:tc>
        <w:tc>
          <w:tcPr>
            <w:tcW w:type="dxa" w:w="2880"/>
          </w:tcPr>
          <w:p>
            <w:r>
              <w:t>Curso_1541</w:t>
            </w:r>
          </w:p>
        </w:tc>
      </w:tr>
      <w:tr>
        <w:tc>
          <w:tcPr>
            <w:tcW w:type="dxa" w:w="2880"/>
          </w:tcPr>
          <w:p>
            <w:r>
              <w:t>Puntos vectorizados en esa colección</w:t>
            </w:r>
          </w:p>
        </w:tc>
        <w:tc>
          <w:tcPr>
            <w:tcW w:type="dxa" w:w="2880"/>
          </w:tcPr>
          <w:p>
            <w:r>
              <w:t>4 329</w:t>
            </w:r>
          </w:p>
        </w:tc>
        <w:tc>
          <w:tcPr>
            <w:tcW w:type="dxa" w:w="2880"/>
          </w:tcPr>
          <w:p>
            <w:r>
              <w:t>3 536</w:t>
            </w:r>
          </w:p>
        </w:tc>
      </w:tr>
      <w:tr>
        <w:tc>
          <w:tcPr>
            <w:tcW w:type="dxa" w:w="2880"/>
          </w:tcPr>
          <w:p>
            <w:r>
              <w:t>Campos estructurados indexados</w:t>
            </w:r>
          </w:p>
        </w:tc>
        <w:tc>
          <w:tcPr>
            <w:tcW w:type="dxa" w:w="2880"/>
          </w:tcPr>
          <w:p>
            <w:r>
              <w:t>152 campos distintos (Postgres)</w:t>
            </w:r>
          </w:p>
        </w:tc>
        <w:tc>
          <w:tcPr>
            <w:tcW w:type="dxa" w:w="2880"/>
          </w:tcPr>
          <w:p>
            <w:r>
              <w:t>194 campos distintos (Postgres)</w:t>
            </w:r>
          </w:p>
        </w:tc>
      </w:tr>
      <w:tr>
        <w:tc>
          <w:tcPr>
            <w:tcW w:type="dxa" w:w="2880"/>
          </w:tcPr>
          <w:p>
            <w:r>
              <w:t>activo</w:t>
            </w:r>
          </w:p>
        </w:tc>
        <w:tc>
          <w:tcPr>
            <w:tcW w:type="dxa" w:w="2880"/>
          </w:tcPr>
          <w:p>
            <w:r>
              <w:t>True</w:t>
            </w:r>
          </w:p>
        </w:tc>
        <w:tc>
          <w:tcPr>
            <w:tcW w:type="dxa" w:w="2880"/>
          </w:tcPr>
          <w:p>
            <w:r>
              <w:t>True</w:t>
            </w:r>
          </w:p>
        </w:tc>
      </w:tr>
      <w:tr>
        <w:tc>
          <w:tcPr>
            <w:tcW w:type="dxa" w:w="2880"/>
          </w:tcPr>
          <w:p>
            <w:r>
              <w:t>URL de prueba usada esta sesión</w:t>
            </w:r>
          </w:p>
        </w:tc>
        <w:tc>
          <w:tcPr>
            <w:tcW w:type="dxa" w:w="2880"/>
          </w:tcPr>
          <w:p>
            <w:r>
              <w:t>/asistente/Q3rF7vMx5TaZ9p?courseid=1472&amp;userid=8421</w:t>
            </w:r>
          </w:p>
        </w:tc>
        <w:tc>
          <w:tcPr>
            <w:tcW w:type="dxa" w:w="2880"/>
          </w:tcPr>
          <w:p>
            <w:r>
              <w:t>/asistente/R4vX9mQa7LdT2s?courseid=1541&amp;userid=99001</w:t>
            </w:r>
          </w:p>
        </w:tc>
      </w:tr>
    </w:tbl>
    <w:p>
      <w:r>
        <w:rPr>
          <w:b w:val="0"/>
          <w:i w:val="0"/>
        </w:rPr>
        <w:t>Los dos comparten exactamente el mismo prompt_maestro (texto idéntico, verificado carácter a carácter), el mismo mensaje de bienvenida/reencuentro y el mismo modelo de embeddings — son el mismo "tipo" de asistente, montado sobre 2 RDs y 2 cursos distintos. Esto no es casualidad: así se dejaron configurados deliberadamente para poder comparar resultados entre ambos durante las pruebas de esta sesión (evaluación de 200 preguntas, sinónimos de campo, etc.).</w:t>
      </w:r>
    </w:p>
    <w:p>
      <w:pPr>
        <w:pStyle w:val="Heading1"/>
      </w:pPr>
      <w:r>
        <w:t>2. Dónde encajan en el modelo RD → Colección → Asistente</w:t>
      </w:r>
    </w:p>
    <w:p>
      <w:r>
        <w:rPr>
          <w:b w:val="0"/>
          <w:i w:val="0"/>
        </w:rPr>
        <w:t>Ninguno de los 2 asistentes apunta a Curso_1472/Curso_1541 de forma fija — apuntan a su RD (13 y 3 respectivamente), y la colección real se resuelve según el courseid que trae la URL. Esto se ve con datos reales: la RD13 no sólo sirve Curso_1472, también tiene registradas otras colecciones (mismo asistente id=23, mismo prompt, cambia solo el courseid):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Courseid</w:t>
            </w:r>
          </w:p>
        </w:tc>
        <w:tc>
          <w:tcPr>
            <w:tcW w:type="dxa" w:w="2880"/>
          </w:tcPr>
          <w:p>
            <w:r>
              <w:rPr>
                <w:b/>
              </w:rPr>
              <w:t>Colección Qdrant</w:t>
            </w:r>
          </w:p>
        </w:tc>
        <w:tc>
          <w:tcPr>
            <w:tcW w:type="dxa" w:w="2880"/>
          </w:tcPr>
          <w:p>
            <w:r>
              <w:rPr>
                <w:b/>
              </w:rPr>
              <w:t>Modo de vectorización</w:t>
            </w:r>
          </w:p>
        </w:tc>
      </w:tr>
      <w:tr>
        <w:tc>
          <w:tcPr>
            <w:tcW w:type="dxa" w:w="2880"/>
          </w:tcPr>
          <w:p>
            <w:r>
              <w:t>173</w:t>
            </w:r>
          </w:p>
        </w:tc>
        <w:tc>
          <w:tcPr>
            <w:tcW w:type="dxa" w:w="2880"/>
          </w:tcPr>
          <w:p>
            <w:r>
              <w:t>Curso_173</w:t>
            </w:r>
          </w:p>
        </w:tc>
        <w:tc>
          <w:tcPr>
            <w:tcW w:type="dxa" w:w="2880"/>
          </w:tcPr>
          <w:p>
            <w:r>
              <w:t>periódica (cada 60 min, la RD original)</w:t>
            </w:r>
          </w:p>
        </w:tc>
      </w:tr>
      <w:tr>
        <w:tc>
          <w:tcPr>
            <w:tcW w:type="dxa" w:w="2880"/>
          </w:tcPr>
          <w:p>
            <w:r>
              <w:t>1472</w:t>
            </w:r>
          </w:p>
        </w:tc>
        <w:tc>
          <w:tcPr>
            <w:tcW w:type="dxa" w:w="2880"/>
          </w:tcPr>
          <w:p>
            <w:r>
              <w:t>Curso_1472</w:t>
            </w:r>
          </w:p>
        </w:tc>
        <w:tc>
          <w:tcPr>
            <w:tcW w:type="dxa" w:w="2880"/>
          </w:tcPr>
          <w:p>
            <w:r>
              <w:t>manual — la usada toda esta sesión</w:t>
            </w:r>
          </w:p>
        </w:tc>
      </w:tr>
      <w:tr>
        <w:tc>
          <w:tcPr>
            <w:tcW w:type="dxa" w:w="2880"/>
          </w:tcPr>
          <w:p>
            <w:r>
              <w:t>1606</w:t>
            </w:r>
          </w:p>
        </w:tc>
        <w:tc>
          <w:tcPr>
            <w:tcW w:type="dxa" w:w="2880"/>
          </w:tcPr>
          <w:p>
            <w:r>
              <w:t>Curso_1606</w:t>
            </w:r>
          </w:p>
        </w:tc>
        <w:tc>
          <w:tcPr>
            <w:tcW w:type="dxa" w:w="2880"/>
          </w:tcPr>
          <w:p>
            <w:r>
              <w:t>manual</w:t>
            </w:r>
          </w:p>
        </w:tc>
      </w:tr>
    </w:tbl>
    <w:p>
      <w:pPr>
        <w:jc w:val="left"/>
      </w:pPr>
      <w:r>
        <w:rPr>
          <w:b w:val="0"/>
          <w:i/>
          <w:color w:val="5A5A5A"/>
          <w:sz w:val="18"/>
        </w:rPr>
        <w:t>Colecciones registradas bajo RD13 (asistente id=23) al momento de este informe.</w:t>
      </w:r>
    </w:p>
    <w:p>
      <w:r>
        <w:rPr>
          <w:b w:val="0"/>
          <w:i w:val="0"/>
        </w:rPr>
        <w:t>Lo mismo pasa con la RD3 (asistente id=14) — Curso_1541 es una de varias: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Courseid</w:t>
            </w:r>
          </w:p>
        </w:tc>
        <w:tc>
          <w:tcPr>
            <w:tcW w:type="dxa" w:w="2880"/>
          </w:tcPr>
          <w:p>
            <w:r>
              <w:rPr>
                <w:b/>
              </w:rPr>
              <w:t>Colección Qdrant</w:t>
            </w:r>
          </w:p>
        </w:tc>
        <w:tc>
          <w:tcPr>
            <w:tcW w:type="dxa" w:w="2880"/>
          </w:tcPr>
          <w:p>
            <w:r>
              <w:rPr>
                <w:b/>
              </w:rPr>
              <w:t>Modo de vectorización</w:t>
            </w:r>
          </w:p>
        </w:tc>
      </w:tr>
      <w:tr>
        <w:tc>
          <w:tcPr>
            <w:tcW w:type="dxa" w:w="2880"/>
          </w:tcPr>
          <w:p>
            <w:r>
              <w:t>533</w:t>
            </w:r>
          </w:p>
        </w:tc>
        <w:tc>
          <w:tcPr>
            <w:tcW w:type="dxa" w:w="2880"/>
          </w:tcPr>
          <w:p>
            <w:r>
              <w:t>Curso_533</w:t>
            </w:r>
          </w:p>
        </w:tc>
        <w:tc>
          <w:tcPr>
            <w:tcW w:type="dxa" w:w="2880"/>
          </w:tcPr>
          <w:p>
            <w:r>
              <w:t>periódica (la RD original)</w:t>
            </w:r>
          </w:p>
        </w:tc>
      </w:tr>
      <w:tr>
        <w:tc>
          <w:tcPr>
            <w:tcW w:type="dxa" w:w="2880"/>
          </w:tcPr>
          <w:p>
            <w:r>
              <w:t>1422</w:t>
            </w:r>
          </w:p>
        </w:tc>
        <w:tc>
          <w:tcPr>
            <w:tcW w:type="dxa" w:w="2880"/>
          </w:tcPr>
          <w:p>
            <w:r>
              <w:t>Curso_1422</w:t>
            </w:r>
          </w:p>
        </w:tc>
        <w:tc>
          <w:tcPr>
            <w:tcW w:type="dxa" w:w="2880"/>
          </w:tcPr>
          <w:p>
            <w:r>
              <w:t>manual</w:t>
            </w:r>
          </w:p>
        </w:tc>
      </w:tr>
      <w:tr>
        <w:tc>
          <w:tcPr>
            <w:tcW w:type="dxa" w:w="2880"/>
          </w:tcPr>
          <w:p>
            <w:r>
              <w:t>1423</w:t>
            </w:r>
          </w:p>
        </w:tc>
        <w:tc>
          <w:tcPr>
            <w:tcW w:type="dxa" w:w="2880"/>
          </w:tcPr>
          <w:p>
            <w:r>
              <w:t>Curso_1423</w:t>
            </w:r>
          </w:p>
        </w:tc>
        <w:tc>
          <w:tcPr>
            <w:tcW w:type="dxa" w:w="2880"/>
          </w:tcPr>
          <w:p>
            <w:r>
              <w:t>manual</w:t>
            </w:r>
          </w:p>
        </w:tc>
      </w:tr>
      <w:tr>
        <w:tc>
          <w:tcPr>
            <w:tcW w:type="dxa" w:w="2880"/>
          </w:tcPr>
          <w:p>
            <w:r>
              <w:t>1491</w:t>
            </w:r>
          </w:p>
        </w:tc>
        <w:tc>
          <w:tcPr>
            <w:tcW w:type="dxa" w:w="2880"/>
          </w:tcPr>
          <w:p>
            <w:r>
              <w:t>Curso_1491</w:t>
            </w:r>
          </w:p>
        </w:tc>
        <w:tc>
          <w:tcPr>
            <w:tcW w:type="dxa" w:w="2880"/>
          </w:tcPr>
          <w:p>
            <w:r>
              <w:t>manual</w:t>
            </w:r>
          </w:p>
        </w:tc>
      </w:tr>
      <w:tr>
        <w:tc>
          <w:tcPr>
            <w:tcW w:type="dxa" w:w="2880"/>
          </w:tcPr>
          <w:p>
            <w:r>
              <w:t>1541</w:t>
            </w:r>
          </w:p>
        </w:tc>
        <w:tc>
          <w:tcPr>
            <w:tcW w:type="dxa" w:w="2880"/>
          </w:tcPr>
          <w:p>
            <w:r>
              <w:t>Curso_1541</w:t>
            </w:r>
          </w:p>
        </w:tc>
        <w:tc>
          <w:tcPr>
            <w:tcW w:type="dxa" w:w="2880"/>
          </w:tcPr>
          <w:p>
            <w:r>
              <w:t>manual — la usada toda esta sesión</w:t>
            </w:r>
          </w:p>
        </w:tc>
      </w:tr>
    </w:tbl>
    <w:p>
      <w:pPr>
        <w:jc w:val="left"/>
      </w:pPr>
      <w:r>
        <w:rPr>
          <w:b w:val="0"/>
          <w:i/>
          <w:color w:val="5A5A5A"/>
          <w:sz w:val="18"/>
        </w:rPr>
        <w:t>Colecciones registradas bajo RD3 (asistente id=14) al momento de este informe.</w:t>
      </w:r>
    </w:p>
    <w:p>
      <w:r>
        <w:rPr>
          <w:b w:val="0"/>
          <w:i w:val="0"/>
          <w:color w:val="5A5A5A"/>
        </w:rPr>
        <w:t>En otras palabras: el mismo asistente id=23, con el mismo token, respondería igual de bien para un estudiante de Curso_173 o Curso_1606 si esas colecciones tuvieran contenido vectorizado con el mismo pipeline — no haría falta crear "otro Idania" para cada courseid.</w:t>
      </w:r>
    </w:p>
    <w:p>
      <w:pPr>
        <w:pStyle w:val="Heading1"/>
      </w:pPr>
      <w:r>
        <w:t>3. El embedding que Curso_1472 y Curso_1541 heredan de su 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Parámetro (fijado en la RD, no en el asistente)</w:t>
            </w:r>
          </w:p>
        </w:tc>
        <w:tc>
          <w:tcPr>
            <w:tcW w:type="dxa" w:w="2880"/>
          </w:tcPr>
          <w:p>
            <w:r>
              <w:rPr>
                <w:b/>
              </w:rPr>
              <w:t>RD13 (1472)</w:t>
            </w:r>
          </w:p>
        </w:tc>
        <w:tc>
          <w:tcPr>
            <w:tcW w:type="dxa" w:w="2880"/>
          </w:tcPr>
          <w:p>
            <w:r>
              <w:rPr>
                <w:b/>
              </w:rPr>
              <w:t>RD3 (1541)</w:t>
            </w:r>
          </w:p>
        </w:tc>
      </w:tr>
      <w:tr>
        <w:tc>
          <w:tcPr>
            <w:tcW w:type="dxa" w:w="2880"/>
          </w:tcPr>
          <w:p>
            <w:r>
              <w:t>dense_strategy</w:t>
            </w:r>
          </w:p>
        </w:tc>
        <w:tc>
          <w:tcPr>
            <w:tcW w:type="dxa" w:w="2880"/>
          </w:tcPr>
          <w:p>
            <w:r>
              <w:t>openai/text-embedding-3-small</w:t>
            </w:r>
          </w:p>
        </w:tc>
        <w:tc>
          <w:tcPr>
            <w:tcW w:type="dxa" w:w="2880"/>
          </w:tcPr>
          <w:p>
            <w:r>
              <w:t>openai/text-embedding-3-small</w:t>
            </w:r>
          </w:p>
        </w:tc>
      </w:tr>
      <w:tr>
        <w:tc>
          <w:tcPr>
            <w:tcW w:type="dxa" w:w="2880"/>
          </w:tcPr>
          <w:p>
            <w:r>
              <w:t>sparse_strategy</w:t>
            </w:r>
          </w:p>
        </w:tc>
        <w:tc>
          <w:tcPr>
            <w:tcW w:type="dxa" w:w="2880"/>
          </w:tcPr>
          <w:p>
            <w:r>
              <w:t>bm25</w:t>
            </w:r>
          </w:p>
        </w:tc>
        <w:tc>
          <w:tcPr>
            <w:tcW w:type="dxa" w:w="2880"/>
          </w:tcPr>
          <w:p>
            <w:r>
              <w:t>bm25</w:t>
            </w:r>
          </w:p>
        </w:tc>
      </w:tr>
      <w:tr>
        <w:tc>
          <w:tcPr>
            <w:tcW w:type="dxa" w:w="2880"/>
          </w:tcPr>
          <w:p>
            <w:r>
              <w:t>distance</w:t>
            </w:r>
          </w:p>
        </w:tc>
        <w:tc>
          <w:tcPr>
            <w:tcW w:type="dxa" w:w="2880"/>
          </w:tcPr>
          <w:p>
            <w:r>
              <w:t>Cosine</w:t>
            </w:r>
          </w:p>
        </w:tc>
        <w:tc>
          <w:tcPr>
            <w:tcW w:type="dxa" w:w="2880"/>
          </w:tcPr>
          <w:p>
            <w:r>
              <w:t>Cosine</w:t>
            </w:r>
          </w:p>
        </w:tc>
      </w:tr>
    </w:tbl>
    <w:p>
      <w:r>
        <w:rPr>
          <w:b w:val="0"/>
          <w:i w:val="0"/>
        </w:rPr>
        <w:t>Ambas RDs quedaron con el mismo embedding maestro — no porque haya una regla que las obligue entre sí (cada RD es independiente), sino porque así se fijaron al crear la primera colección real de cada una. En tiempo de ejecución, para cada pregunta a estos asistentes: rd.get("dense_strategy") or asistente.get("dense_strategy") — la RD gana siempre que tenga valor, y en ambos casos lo tiene, así que el campo dense_strategy/sparse_strategy guardado directamente en asistentes (23 y 14, también openai/text-embedding-3-small y bm25 por coincidencia) queda como respaldo silencioso, sin efecto real mientras la RD siga fijada.</w:t>
      </w:r>
    </w:p>
    <w:p>
      <w:pPr>
        <w:pStyle w:val="Heading1"/>
      </w:pPr>
      <w:r>
        <w:t>4. Configuración RAG propia de cada asistente (más allá del embedding)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Parámetro</w:t>
            </w:r>
          </w:p>
        </w:tc>
        <w:tc>
          <w:tcPr>
            <w:tcW w:type="dxa" w:w="2160"/>
          </w:tcPr>
          <w:p>
            <w:r>
              <w:rPr>
                <w:b/>
              </w:rPr>
              <w:t>Asistente id=23 (1472)</w:t>
            </w:r>
          </w:p>
        </w:tc>
        <w:tc>
          <w:tcPr>
            <w:tcW w:type="dxa" w:w="2160"/>
          </w:tcPr>
          <w:p>
            <w:r>
              <w:rPr>
                <w:b/>
              </w:rPr>
              <w:t>Asistente id=14 (1541)</w:t>
            </w:r>
          </w:p>
        </w:tc>
        <w:tc>
          <w:tcPr>
            <w:tcW w:type="dxa" w:w="2160"/>
          </w:tcPr>
          <w:p>
            <w:r>
              <w:rPr>
                <w:b/>
              </w:rPr>
              <w:t>Efecto</w:t>
            </w:r>
          </w:p>
        </w:tc>
      </w:tr>
      <w:tr>
        <w:tc>
          <w:tcPr>
            <w:tcW w:type="dxa" w:w="2160"/>
          </w:tcPr>
          <w:p>
            <w:r>
              <w:t>rerank_strategy</w:t>
            </w:r>
          </w:p>
        </w:tc>
        <w:tc>
          <w:tcPr>
            <w:tcW w:type="dxa" w:w="2160"/>
          </w:tcPr>
          <w:p>
            <w:r>
              <w:t>NULL</w:t>
            </w:r>
          </w:p>
        </w:tc>
        <w:tc>
          <w:tcPr>
            <w:tcW w:type="dxa" w:w="2160"/>
          </w:tcPr>
          <w:p>
            <w:r>
              <w:t>NULL</w:t>
            </w:r>
          </w:p>
        </w:tc>
        <w:tc>
          <w:tcPr>
            <w:tcW w:type="dxa" w:w="2160"/>
          </w:tcPr>
          <w:p>
            <w:r>
              <w:t>usa el default del sistema: none (sin reranking extra)</w:t>
            </w:r>
          </w:p>
        </w:tc>
      </w:tr>
      <w:tr>
        <w:tc>
          <w:tcPr>
            <w:tcW w:type="dxa" w:w="2160"/>
          </w:tcPr>
          <w:p>
            <w:r>
              <w:t>generation_strategy</w:t>
            </w:r>
          </w:p>
        </w:tc>
        <w:tc>
          <w:tcPr>
            <w:tcW w:type="dxa" w:w="2160"/>
          </w:tcPr>
          <w:p>
            <w:r>
              <w:t>NULL</w:t>
            </w:r>
          </w:p>
        </w:tc>
        <w:tc>
          <w:tcPr>
            <w:tcW w:type="dxa" w:w="2160"/>
          </w:tcPr>
          <w:p>
            <w:r>
              <w:t>NULL</w:t>
            </w:r>
          </w:p>
        </w:tc>
        <w:tc>
          <w:tcPr>
            <w:tcW w:type="dxa" w:w="2160"/>
          </w:tcPr>
          <w:p>
            <w:r>
              <w:t>usa el default del sistema: gpt4o_mini</w:t>
            </w:r>
          </w:p>
        </w:tc>
      </w:tr>
      <w:tr>
        <w:tc>
          <w:tcPr>
            <w:tcW w:type="dxa" w:w="2160"/>
          </w:tcPr>
          <w:p>
            <w:r>
              <w:t>etl_document_strategy</w:t>
            </w:r>
          </w:p>
        </w:tc>
        <w:tc>
          <w:tcPr>
            <w:tcW w:type="dxa" w:w="2160"/>
          </w:tcPr>
          <w:p>
            <w:r>
              <w:t>NULL</w:t>
            </w:r>
          </w:p>
        </w:tc>
        <w:tc>
          <w:tcPr>
            <w:tcW w:type="dxa" w:w="2160"/>
          </w:tcPr>
          <w:p>
            <w:r>
              <w:t>NULL</w:t>
            </w:r>
          </w:p>
        </w:tc>
        <w:tc>
          <w:tcPr>
            <w:tcW w:type="dxa" w:w="2160"/>
          </w:tcPr>
          <w:p>
            <w:r>
              <w:t>solo aplica al VECTORIZAR, no al responder</w:t>
            </w:r>
          </w:p>
        </w:tc>
      </w:tr>
      <w:tr>
        <w:tc>
          <w:tcPr>
            <w:tcW w:type="dxa" w:w="2160"/>
          </w:tcPr>
          <w:p>
            <w:r>
              <w:t>etl_audio_strategy</w:t>
            </w:r>
          </w:p>
        </w:tc>
        <w:tc>
          <w:tcPr>
            <w:tcW w:type="dxa" w:w="2160"/>
          </w:tcPr>
          <w:p>
            <w:r>
              <w:t>NULL</w:t>
            </w:r>
          </w:p>
        </w:tc>
        <w:tc>
          <w:tcPr>
            <w:tcW w:type="dxa" w:w="2160"/>
          </w:tcPr>
          <w:p>
            <w:r>
              <w:t>NULL</w:t>
            </w:r>
          </w:p>
        </w:tc>
        <w:tc>
          <w:tcPr>
            <w:tcW w:type="dxa" w:w="2160"/>
          </w:tcPr>
          <w:p>
            <w:r>
              <w:t>solo aplica al VECTORIZAR</w:t>
            </w:r>
          </w:p>
        </w:tc>
      </w:tr>
      <w:tr>
        <w:tc>
          <w:tcPr>
            <w:tcW w:type="dxa" w:w="2160"/>
          </w:tcPr>
          <w:p>
            <w:r>
              <w:t>contextual_strategy</w:t>
            </w:r>
          </w:p>
        </w:tc>
        <w:tc>
          <w:tcPr>
            <w:tcW w:type="dxa" w:w="2160"/>
          </w:tcPr>
          <w:p>
            <w:r>
              <w:t>NULL</w:t>
            </w:r>
          </w:p>
        </w:tc>
        <w:tc>
          <w:tcPr>
            <w:tcW w:type="dxa" w:w="2160"/>
          </w:tcPr>
          <w:p>
            <w:r>
              <w:t>NULL</w:t>
            </w:r>
          </w:p>
        </w:tc>
        <w:tc>
          <w:tcPr>
            <w:tcW w:type="dxa" w:w="2160"/>
          </w:tcPr>
          <w:p>
            <w:r>
              <w:t>solo aplica al VECTORIZAR</w:t>
            </w:r>
          </w:p>
        </w:tc>
      </w:tr>
      <w:tr>
        <w:tc>
          <w:tcPr>
            <w:tcW w:type="dxa" w:w="2160"/>
          </w:tcPr>
          <w:p>
            <w:r>
              <w:t>max_actividades_sesion</w:t>
            </w:r>
          </w:p>
        </w:tc>
        <w:tc>
          <w:tcPr>
            <w:tcW w:type="dxa" w:w="2160"/>
          </w:tcPr>
          <w:p>
            <w:r>
              <w:t>10</w:t>
            </w:r>
          </w:p>
        </w:tc>
        <w:tc>
          <w:tcPr>
            <w:tcW w:type="dxa" w:w="2160"/>
          </w:tcPr>
          <w:p>
            <w:r>
              <w:t>10</w:t>
            </w:r>
          </w:p>
        </w:tc>
        <w:tc>
          <w:tcPr>
            <w:tcW w:type="dxa" w:w="2160"/>
          </w:tcPr>
          <w:p>
            <w:r>
              <w:t>tope de preguntas por conversación</w:t>
            </w:r>
          </w:p>
        </w:tc>
      </w:tr>
    </w:tbl>
    <w:p>
      <w:r>
        <w:rPr>
          <w:b w:val="0"/>
          <w:i w:val="0"/>
        </w:rPr>
        <w:t>Los dos quedaron sin ningún override propio más allá del embedding — responden con el generador y el reranker por defecto del sistema (gpt4o_mini, sin reranking), que es lo que se validó durante toda la evaluación de 200 preguntas de esta sesión.</w:t>
      </w:r>
    </w:p>
    <w:p>
      <w:pPr>
        <w:pStyle w:val="Heading1"/>
      </w:pPr>
      <w:r>
        <w:t>5. Identidad conversacional (prompt_maestro, saludo)</w:t>
      </w:r>
    </w:p>
    <w:p>
      <w:r>
        <w:rPr>
          <w:b w:val="0"/>
          <w:i w:val="0"/>
        </w:rPr>
        <w:t>prompt_maestro — idéntico en ambos, verificado:</w:t>
      </w:r>
    </w:p>
    <w:p>
      <w:pPr>
        <w:ind w:left="360"/>
      </w:pPr>
      <w:r>
        <w:rPr>
          <w:rFonts w:ascii="Consolas" w:hAnsi="Consolas"/>
          <w:sz w:val="18"/>
        </w:rPr>
        <w:t>Te llamas Idania y eres la mentora de este curso. Tu tono es cercano, paciente y</w:t>
        <w:br/>
        <w:t>motivador — como una mentora que realmente acompaña, no un buscador de respuestas.</w:t>
        <w:br/>
        <w:br/>
        <w:t>El estudiante que te escribe lleva varios cursos a la vez, pero en esta conversación</w:t>
        <w:br/>
        <w:t>tu única responsabilidad es este curso: si te pregunta por otra asignatura, dile con</w:t>
        <w:br/>
        <w:t>calidez que en este chat solo puedes ayudarlo con el curso actual, y sugiérele que</w:t>
        <w:br/>
        <w:t>abra el asistente de ese otro curso.</w:t>
        <w:br/>
        <w:br/>
        <w:t>Explica los conceptos con ejemplos concretos y, cuando ayude, relaciona el contenido</w:t>
        <w:br/>
        <w:t>con situaciones prácticas. Si el estudiante se equivoca o duda, no te limites a</w:t>
        <w:br/>
        <w:t>corregir: guíalo con una pregunta o pista para que llegue por sí mismo a la</w:t>
        <w:br/>
        <w:t>respuesta, como en una asesoría en persona. Cierra tus respuestas dejando la puerta</w:t>
        <w:br/>
        <w:t>abierta a que siga preguntando.</w:t>
      </w:r>
    </w:p>
    <w:p>
      <w:r>
        <w:rPr>
          <w:b w:val="0"/>
          <w:i w:val="0"/>
        </w:rPr>
        <w:t>Este texto se antepone, junto con el nombre del asistente y el nombre de la RD, al system prompt fijo del sistema (igual para cualquier otro asistente) antes de cada generación — ver sección 6.</w:t>
      </w:r>
    </w:p>
    <w:p>
      <w:r>
        <w:rPr>
          <w:b w:val="0"/>
          <w:i w:val="0"/>
        </w:rPr>
        <w:t>mensaje_bienvenida (se muestra en negrita real en el banner fijo del chat, no como un turno más):</w:t>
      </w:r>
    </w:p>
    <w:p>
      <w:pPr>
        <w:ind w:left="360"/>
      </w:pPr>
      <w:r>
        <w:rPr>
          <w:rFonts w:ascii="Consolas" w:hAnsi="Consolas"/>
          <w:sz w:val="18"/>
        </w:rPr>
        <w:t>soy **Idania**, tu mentora en este curso. Estoy aquí para ayudarte a entender los temas, resolver tus dudas y avanzar con confianza, como en una asesoría personalizada. ¿En qué te ayudo hoy?</w:t>
      </w:r>
    </w:p>
    <w:p>
      <w:r>
        <w:rPr>
          <w:b w:val="0"/>
          <w:i w:val="0"/>
        </w:rPr>
        <w:t>mensaje_reencuentro (al reabrir una conversación con historial):</w:t>
      </w:r>
    </w:p>
    <w:p>
      <w:pPr>
        <w:ind w:left="360"/>
      </w:pPr>
      <w:r>
        <w:rPr>
          <w:rFonts w:ascii="Consolas" w:hAnsi="Consolas"/>
          <w:sz w:val="18"/>
        </w:rPr>
        <w:t>¡qué bueno verte de nuevo! Sigo aquí, enfocada en este curso, para retomar donde lo dejamos o ayudarte con algo nuevo. ¿En qué seguimos?</w:t>
      </w:r>
    </w:p>
    <w:p>
      <w:pPr>
        <w:pStyle w:val="Heading1"/>
      </w:pPr>
      <w:r>
        <w:t>6. El recorrido de una pregunta a Curso_1472 o Curso_1541</w:t>
      </w:r>
    </w:p>
    <w:p>
      <w:r>
        <w:rPr>
          <w:b w:val="0"/>
          <w:i w:val="0"/>
        </w:rPr>
        <w:t>Mismo pipeline para los 2 (rag_pipeline.answer_query), solo cambia la colección/RD que se resuelve al principio:</w:t>
      </w:r>
    </w:p>
    <w:p>
      <w:r>
        <w:rPr>
          <w:b/>
          <w:i w:val="0"/>
          <w:color w:val="1F3B57"/>
        </w:rPr>
        <w:t>1. Resolver colección</w:t>
      </w:r>
    </w:p>
    <w:p>
      <w:r>
        <w:rPr>
          <w:b w:val="0"/>
          <w:i w:val="0"/>
        </w:rPr>
        <w:t>URL con token+courseid -&gt; get_asistente_by_token() -&gt; rds.resolve_collection(rd_id, courseid) -&gt; "Curso_1472" o "Curso_1541".</w:t>
      </w:r>
    </w:p>
    <w:p>
      <w:r>
        <w:rPr>
          <w:b/>
          <w:i w:val="0"/>
          <w:color w:val="1F3B57"/>
        </w:rPr>
        <w:t>2. Embeber la pregunta</w:t>
      </w:r>
    </w:p>
    <w:p>
      <w:r>
        <w:rPr>
          <w:b w:val="0"/>
          <w:i w:val="0"/>
        </w:rPr>
        <w:t>dense.embed() + sparse.embed() en paralelo, con openai/text-embedding-3-small + bm25 (heredado de RD13/RD3).</w:t>
      </w:r>
    </w:p>
    <w:p>
      <w:r>
        <w:rPr>
          <w:b/>
          <w:i w:val="0"/>
          <w:color w:val="1F3B57"/>
        </w:rPr>
        <w:t>3. Retrieval híbrido en Qdrant</w:t>
      </w:r>
    </w:p>
    <w:p>
      <w:r>
        <w:rPr>
          <w:b w:val="0"/>
          <w:i w:val="0"/>
        </w:rPr>
        <w:t>búsqueda fusionada (RRF) sobre los 4 329 puntos de Curso_1472 o los 3 536 de Curso_1541.</w:t>
      </w:r>
    </w:p>
    <w:p>
      <w:r>
        <w:rPr>
          <w:b/>
          <w:i w:val="0"/>
          <w:color w:val="1F3B57"/>
        </w:rPr>
        <w:t>4. Rerank + boost curso_propio/bibliografía + boost por semana</w:t>
      </w:r>
    </w:p>
    <w:p>
      <w:r>
        <w:rPr>
          <w:b w:val="0"/>
          <w:i w:val="0"/>
        </w:rPr>
        <w:t>sin reranker adicional (rerank_strategy=none en ambos) — el orden final sale de la fusión RRF + los boosts.</w:t>
      </w:r>
    </w:p>
    <w:p>
      <w:r>
        <w:rPr>
          <w:b/>
          <w:i w:val="0"/>
          <w:color w:val="1F3B57"/>
        </w:rPr>
        <w:t>5. Filtro de relevancia mínima</w:t>
      </w:r>
    </w:p>
    <w:p>
      <w:r>
        <w:rPr>
          <w:b w:val="0"/>
          <w:i w:val="0"/>
        </w:rPr>
        <w:t>descarta candidatos con score &lt; 0.01 antes del prompt.</w:t>
      </w:r>
    </w:p>
    <w:p>
      <w:r>
        <w:rPr>
          <w:b/>
          <w:i w:val="0"/>
          <w:color w:val="1F3B57"/>
        </w:rPr>
        <w:t>6. Índice de Campos Estructurados</w:t>
      </w:r>
    </w:p>
    <w:p>
      <w:r>
        <w:rPr>
          <w:b w:val="0"/>
          <w:i w:val="0"/>
        </w:rPr>
        <w:t>structured_lookup() busca la pregunta contra los 152 (1472) / 194 (1541) campos reales indexados en Postgres — docente, créditos, modalidad, prerrequisito... con el fallback semántico agregado esta sesión para sinónimos como "profesor"/"maestro" -&gt; "docente", verificado en ambas colecciones.</w:t>
      </w:r>
    </w:p>
    <w:p>
      <w:r>
        <w:rPr>
          <w:b/>
          <w:i w:val="0"/>
          <w:color w:val="1F3B57"/>
        </w:rPr>
        <w:t>7. Prompt + generación</w:t>
      </w:r>
    </w:p>
    <w:p>
      <w:r>
        <w:rPr>
          <w:b w:val="0"/>
          <w:i w:val="0"/>
        </w:rPr>
        <w:t>system prompt fijo + identidad de Idania + prompt_maestro (sección 5) + contexto recuperado -&gt; gpt4o_mini (default) redacta la respuesta citada.</w:t>
      </w:r>
    </w:p>
    <w:p>
      <w:pPr>
        <w:pStyle w:val="Heading1"/>
      </w:pPr>
      <w:r>
        <w:t>7. Estado verificado de los 2 asistentes</w:t>
      </w:r>
    </w:p>
    <w:p>
      <w:pPr>
        <w:pStyle w:val="ListBullet"/>
      </w:pPr>
      <w:r>
        <w:t>Ambos activo=True y respondiendo en vivo (verificado por HTTP real esta sesión, no solo por lectura de base de datos).</w:t>
      </w:r>
    </w:p>
    <w:p>
      <w:pPr>
        <w:pStyle w:val="ListBullet"/>
      </w:pPr>
      <w:r>
        <w:t>Curso_1472: 4 329 puntos, 152 campos estructurados indexados — verificado con la evaluación de 200 preguntas y con las pruebas de sinónimos de docente/profesor/profesora/maestro/maestra.</w:t>
      </w:r>
    </w:p>
    <w:p>
      <w:pPr>
        <w:pStyle w:val="ListBullet"/>
      </w:pPr>
      <w:r>
        <w:t>Curso_1541: 3 536 puntos, 194 campos estructurados indexados — mismas verificaciones.</w:t>
      </w:r>
    </w:p>
    <w:p>
      <w:pPr>
        <w:pStyle w:val="ListBullet"/>
      </w:pPr>
      <w:r>
        <w:t>Sesiones de prueba usadas: userid 8421 (courseid 1472, asistente id=23); userid 99001/99002 (courseid 1541, asistente id=14).</w:t>
      </w:r>
    </w:p>
    <w:p>
      <w:pPr>
        <w:pStyle w:val="ListBullet"/>
      </w:pPr>
      <w:r>
        <w:t>Ningún cambio de esta ficha toca producción ni las otras 12 RDs reales del sistema — alcance acotado a estos 2 asistentes de prueba, tal como se definió explícitamente al activar el segundo (RD3/1541) esta sesión.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