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Idania — Arquitectura, Prompt y Configuración (Curso_1472 y Curso_1541)</w:t>
      </w:r>
    </w:p>
    <w:p>
      <w:r>
        <w:rPr>
          <w:b w:val="0"/>
          <w:i/>
        </w:rPr>
        <w:t>Documento consolidado: cómo están armados los 2 asistentes de producción, cuál es su prompt real, y el detalle completo de su configuración operativa — todos los valores de este documento se leyeron en vivo de producción (Postgres/Qdrant reales, servidor 10.0.0.92) al momento de generarlo, no son ilustrativos.</w:t>
      </w:r>
    </w:p>
    <w:p>
      <w:pPr>
        <w:pStyle w:val="Heading1"/>
      </w:pPr>
      <w:r>
        <w:t>1. Los 2 asistentes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Curso_1472 — Odontología</w:t>
            </w:r>
          </w:p>
        </w:tc>
        <w:tc>
          <w:tcPr>
            <w:tcW w:type="dxa" w:w="2880"/>
          </w:tcPr>
          <w:p>
            <w:r>
              <w:rPr>
                <w:b/>
              </w:rPr>
              <w:t>Curso_1541 — Filosofía de la Educación</w:t>
            </w:r>
          </w:p>
        </w:tc>
      </w:tr>
      <w:tr>
        <w:tc>
          <w:tcPr>
            <w:tcW w:type="dxa" w:w="2880"/>
          </w:tcPr>
          <w:p>
            <w:r>
              <w:t>Asistente (id / nombre)</w:t>
            </w:r>
          </w:p>
        </w:tc>
        <w:tc>
          <w:tcPr>
            <w:tcW w:type="dxa" w:w="2880"/>
          </w:tcPr>
          <w:p>
            <w:r>
              <w:t>id=19 / Idania</w:t>
            </w:r>
          </w:p>
        </w:tc>
        <w:tc>
          <w:tcPr>
            <w:tcW w:type="dxa" w:w="2880"/>
          </w:tcPr>
          <w:p>
            <w:r>
              <w:t>id=10 / Idania</w:t>
            </w:r>
          </w:p>
        </w:tc>
      </w:tr>
      <w:tr>
        <w:tc>
          <w:tcPr>
            <w:tcW w:type="dxa" w:w="2880"/>
          </w:tcPr>
          <w:p>
            <w:r>
              <w:t>Token (URL pública)</w:t>
            </w:r>
          </w:p>
        </w:tc>
        <w:tc>
          <w:tcPr>
            <w:tcW w:type="dxa" w:w="2880"/>
          </w:tcPr>
          <w:p>
            <w:r>
              <w:t>Q3rF7vMx5TaZ9p</w:t>
            </w:r>
          </w:p>
        </w:tc>
        <w:tc>
          <w:tcPr>
            <w:tcW w:type="dxa" w:w="2880"/>
          </w:tcPr>
          <w:p>
            <w:r>
              <w:t>R4vX9mQa7LdT2s</w:t>
            </w:r>
          </w:p>
        </w:tc>
      </w:tr>
      <w:tr>
        <w:tc>
          <w:tcPr>
            <w:tcW w:type="dxa" w:w="2880"/>
          </w:tcPr>
          <w:p>
            <w:r>
              <w:t>URL pública</w:t>
            </w:r>
          </w:p>
        </w:tc>
        <w:tc>
          <w:tcPr>
            <w:tcW w:type="dxa" w:w="2880"/>
          </w:tcPr>
          <w:p>
            <w:r>
              <w:t>educaia.uladech.edu.pe/f1/asistente/Q3rF7vMx5TaZ9p?courseid=1472</w:t>
            </w:r>
          </w:p>
        </w:tc>
        <w:tc>
          <w:tcPr>
            <w:tcW w:type="dxa" w:w="2880"/>
          </w:tcPr>
          <w:p>
            <w:r>
              <w:t>educaia.uladech.edu.pe/f1/asistente/R4vX9mQa7LdT2s?courseid=1541</w:t>
            </w:r>
          </w:p>
        </w:tc>
      </w:tr>
      <w:tr>
        <w:tc>
          <w:tcPr>
            <w:tcW w:type="dxa" w:w="2880"/>
          </w:tcPr>
          <w:p>
            <w:r>
              <w:t>RD (aula)</w:t>
            </w:r>
          </w:p>
        </w:tc>
        <w:tc>
          <w:tcPr>
            <w:tcW w:type="dxa" w:w="2880"/>
          </w:tcPr>
          <w:p>
            <w:r>
              <w:t>RD13 — RD-PRE-ODONTOLOGIA-PR-INTRODUCCION A LA ODONTOLOGIA</w:t>
            </w:r>
          </w:p>
        </w:tc>
        <w:tc>
          <w:tcPr>
            <w:tcW w:type="dxa" w:w="2880"/>
          </w:tcPr>
          <w:p>
            <w:r>
              <w:t>RD3 — RD-PRE-EDUCACION-VI-FILOSOFIA DE LA EDUCACION</w:t>
            </w:r>
          </w:p>
        </w:tc>
      </w:tr>
      <w:tr>
        <w:tc>
          <w:tcPr>
            <w:tcW w:type="dxa" w:w="2880"/>
          </w:tcPr>
          <w:p>
            <w:r>
              <w:t>Colección Qdrant</w:t>
            </w:r>
          </w:p>
        </w:tc>
        <w:tc>
          <w:tcPr>
            <w:tcW w:type="dxa" w:w="2880"/>
          </w:tcPr>
          <w:p>
            <w:r>
              <w:t>Curso_1472</w:t>
            </w:r>
          </w:p>
        </w:tc>
        <w:tc>
          <w:tcPr>
            <w:tcW w:type="dxa" w:w="2880"/>
          </w:tcPr>
          <w:p>
            <w:r>
              <w:t>Curso_1541</w:t>
            </w:r>
          </w:p>
        </w:tc>
      </w:tr>
      <w:tr>
        <w:tc>
          <w:tcPr>
            <w:tcW w:type="dxa" w:w="2880"/>
          </w:tcPr>
          <w:p>
            <w:r>
              <w:t>Puntos vectorizados</w:t>
            </w:r>
          </w:p>
        </w:tc>
        <w:tc>
          <w:tcPr>
            <w:tcW w:type="dxa" w:w="2880"/>
          </w:tcPr>
          <w:p>
            <w:r>
              <w:t>4 337</w:t>
            </w:r>
          </w:p>
        </w:tc>
        <w:tc>
          <w:tcPr>
            <w:tcW w:type="dxa" w:w="2880"/>
          </w:tcPr>
          <w:p>
            <w:r>
              <w:t>3 593</w:t>
            </w:r>
          </w:p>
        </w:tc>
      </w:tr>
      <w:tr>
        <w:tc>
          <w:tcPr>
            <w:tcW w:type="dxa" w:w="2880"/>
          </w:tcPr>
          <w:p>
            <w:r>
              <w:t>Campos estructurados indexados</w:t>
            </w:r>
          </w:p>
        </w:tc>
        <w:tc>
          <w:tcPr>
            <w:tcW w:type="dxa" w:w="2880"/>
          </w:tcPr>
          <w:p>
            <w:r>
              <w:t>152 campos (1 338 registros)</w:t>
            </w:r>
          </w:p>
        </w:tc>
        <w:tc>
          <w:tcPr>
            <w:tcW w:type="dxa" w:w="2880"/>
          </w:tcPr>
          <w:p>
            <w:r>
              <w:t>194 campos (1 675 registros)</w:t>
            </w:r>
          </w:p>
        </w:tc>
      </w:tr>
      <w:tr>
        <w:tc>
          <w:tcPr>
            <w:tcW w:type="dxa" w:w="2880"/>
          </w:tcPr>
          <w:p>
            <w:r>
              <w:t>Estado</w:t>
            </w:r>
          </w:p>
        </w:tc>
        <w:tc>
          <w:tcPr>
            <w:tcW w:type="dxa" w:w="2880"/>
          </w:tcPr>
          <w:p>
            <w:r>
              <w:t>activo</w:t>
            </w:r>
          </w:p>
        </w:tc>
        <w:tc>
          <w:tcPr>
            <w:tcW w:type="dxa" w:w="2880"/>
          </w:tcPr>
          <w:p>
            <w:r>
              <w:t>activo</w:t>
            </w:r>
          </w:p>
        </w:tc>
      </w:tr>
    </w:tbl>
    <w:p>
      <w:pPr>
        <w:pStyle w:val="Heading1"/>
      </w:pPr>
      <w:r>
        <w:t>2. Arquitectura</w:t>
      </w:r>
    </w:p>
    <w:p>
      <w:r>
        <w:rPr>
          <w:b/>
          <w:i w:val="0"/>
          <w:color w:val="1F3B57"/>
        </w:rPr>
        <w:t>2.1 Modelo de datos: RD → Colección → Asistente</w:t>
      </w:r>
    </w:p>
    <w:p>
      <w:r>
        <w:rPr>
          <w:b w:val="0"/>
          <w:i w:val="0"/>
        </w:rPr>
        <w:t>Ninguno de los 2 asistentes apunta a una colección fija: apuntan a su RD, y la colección real se resuelve en el momento según el courseid que trae la URL (rds.resolve_collection). Esto permite que un mismo asistente/token sirva a cualquier courseid nuevo que se registre bajo la misma RD, sin crear un asistente aparte. dense_strategy/sparse_strategy/distance son propiedades de la RD, no del asistente — todas las colecciones de una RD los comparten para ser intercambiables entre sí, y quedan bloqueados una vez que la RD tiene colecciones reales.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Parámetro heredado de la RD</w:t>
            </w:r>
          </w:p>
        </w:tc>
        <w:tc>
          <w:tcPr>
            <w:tcW w:type="dxa" w:w="2880"/>
          </w:tcPr>
          <w:p>
            <w:r>
              <w:rPr>
                <w:b/>
              </w:rPr>
              <w:t>RD13 (Curso_1472)</w:t>
            </w:r>
          </w:p>
        </w:tc>
        <w:tc>
          <w:tcPr>
            <w:tcW w:type="dxa" w:w="2880"/>
          </w:tcPr>
          <w:p>
            <w:r>
              <w:rPr>
                <w:b/>
              </w:rPr>
              <w:t>RD3 (Curso_1541)</w:t>
            </w:r>
          </w:p>
        </w:tc>
      </w:tr>
      <w:tr>
        <w:tc>
          <w:tcPr>
            <w:tcW w:type="dxa" w:w="2880"/>
          </w:tcPr>
          <w:p>
            <w:r>
              <w:t>dense_strategy</w:t>
            </w:r>
          </w:p>
        </w:tc>
        <w:tc>
          <w:tcPr>
            <w:tcW w:type="dxa" w:w="2880"/>
          </w:tcPr>
          <w:p>
            <w:r>
              <w:t>openai/text-embedding-3-small</w:t>
            </w:r>
          </w:p>
        </w:tc>
        <w:tc>
          <w:tcPr>
            <w:tcW w:type="dxa" w:w="2880"/>
          </w:tcPr>
          <w:p>
            <w:r>
              <w:t>openai/text-embedding-3-small</w:t>
            </w:r>
          </w:p>
        </w:tc>
      </w:tr>
      <w:tr>
        <w:tc>
          <w:tcPr>
            <w:tcW w:type="dxa" w:w="2880"/>
          </w:tcPr>
          <w:p>
            <w:r>
              <w:t>sparse_strategy</w:t>
            </w:r>
          </w:p>
        </w:tc>
        <w:tc>
          <w:tcPr>
            <w:tcW w:type="dxa" w:w="2880"/>
          </w:tcPr>
          <w:p>
            <w:r>
              <w:t>bm25</w:t>
            </w:r>
          </w:p>
        </w:tc>
        <w:tc>
          <w:tcPr>
            <w:tcW w:type="dxa" w:w="2880"/>
          </w:tcPr>
          <w:p>
            <w:r>
              <w:t>bm25</w:t>
            </w:r>
          </w:p>
        </w:tc>
      </w:tr>
      <w:tr>
        <w:tc>
          <w:tcPr>
            <w:tcW w:type="dxa" w:w="2880"/>
          </w:tcPr>
          <w:p>
            <w:r>
              <w:t>distance</w:t>
            </w:r>
          </w:p>
        </w:tc>
        <w:tc>
          <w:tcPr>
            <w:tcW w:type="dxa" w:w="2880"/>
          </w:tcPr>
          <w:p>
            <w:r>
              <w:t>Cosine</w:t>
            </w:r>
          </w:p>
        </w:tc>
        <w:tc>
          <w:tcPr>
            <w:tcW w:type="dxa" w:w="2880"/>
          </w:tcPr>
          <w:p>
            <w:r>
              <w:t>Cosine</w:t>
            </w:r>
          </w:p>
        </w:tc>
      </w:tr>
    </w:tbl>
    <w:p>
      <w:r>
        <w:rPr>
          <w:b/>
          <w:i w:val="0"/>
          <w:color w:val="1F3B57"/>
        </w:rPr>
        <w:t>2.2 El recorrido de una pregunta (rag_pipeline.answer_query)</w:t>
      </w:r>
    </w:p>
    <w:p>
      <w:r>
        <w:rPr>
          <w:b/>
          <w:i w:val="0"/>
        </w:rPr>
        <w:t>1. Resolver colección</w:t>
      </w:r>
    </w:p>
    <w:p>
      <w:r>
        <w:rPr>
          <w:b w:val="0"/>
          <w:i w:val="0"/>
        </w:rPr>
        <w:t>token+courseid de la URL → RD → colección real de Qdrant.</w:t>
      </w:r>
    </w:p>
    <w:p>
      <w:r>
        <w:rPr>
          <w:b/>
          <w:i w:val="0"/>
        </w:rPr>
        <w:t>2. Embeber la pregunta</w:t>
      </w:r>
    </w:p>
    <w:p>
      <w:r>
        <w:rPr>
          <w:b w:val="0"/>
          <w:i w:val="0"/>
        </w:rPr>
        <w:t>dense.embed() + sparse.embed() en paralelo (openai/text-embedding-3-small + bm25).</w:t>
      </w:r>
    </w:p>
    <w:p>
      <w:r>
        <w:rPr>
          <w:b/>
          <w:i w:val="0"/>
        </w:rPr>
        <w:t>3. Retrieval híbrido en Qdrant</w:t>
      </w:r>
    </w:p>
    <w:p>
      <w:r>
        <w:rPr>
          <w:b w:val="0"/>
          <w:i w:val="0"/>
        </w:rPr>
        <w:t>búsqueda fusionada (RRF) sobre los puntos de la colección.</w:t>
      </w:r>
    </w:p>
    <w:p>
      <w:r>
        <w:rPr>
          <w:b/>
          <w:i w:val="0"/>
        </w:rPr>
        <w:t>4. Boost curso_propio/bibliografía + boost por semana</w:t>
      </w:r>
    </w:p>
    <w:p>
      <w:r>
        <w:rPr>
          <w:b w:val="0"/>
          <w:i w:val="0"/>
        </w:rPr>
        <w:t>reordena sin descartar, prioriza material propio del curso y coincidencia exacta de semana/sesión si la pregunta la menciona.</w:t>
      </w:r>
    </w:p>
    <w:p>
      <w:r>
        <w:rPr>
          <w:b/>
          <w:i w:val="0"/>
        </w:rPr>
        <w:t>5. Filtro de relevancia mínima</w:t>
      </w:r>
    </w:p>
    <w:p>
      <w:r>
        <w:rPr>
          <w:b w:val="0"/>
          <w:i w:val="0"/>
        </w:rPr>
        <w:t>descarta candidatos con score &lt; 0.01 antes de armar el prompt.</w:t>
      </w:r>
    </w:p>
    <w:p>
      <w:r>
        <w:rPr>
          <w:b/>
          <w:i w:val="0"/>
        </w:rPr>
        <w:t>6. Índice de Campos Estructurados</w:t>
      </w:r>
    </w:p>
    <w:p>
      <w:r>
        <w:rPr>
          <w:b w:val="0"/>
          <w:i w:val="0"/>
        </w:rPr>
        <w:t>campos_estructurados.structured_lookup(): si la pregunta apunta a un campo real (docente, créditos, modalidad...), se inyecta como evidencia de alta confianza en el mismo pool — incluye fallback semántico por embeddings para sinónimos (profesor/docente) sin diccionario curado, con salvaguardas contra falsos positivos (margen de confianza, no solo umbral).</w:t>
      </w:r>
    </w:p>
    <w:p>
      <w:r>
        <w:rPr>
          <w:b/>
          <w:i w:val="0"/>
        </w:rPr>
        <w:t>7. Verificación de fuente por nombre</w:t>
      </w:r>
    </w:p>
    <w:p>
      <w:r>
        <w:rPr>
          <w:b w:val="0"/>
          <w:i w:val="0"/>
        </w:rPr>
        <w:t>si el alumno pide un documento puntual por nombre, se verifica por metadata real cuáles fragmentos son efectivamente esa fuente.</w:t>
      </w:r>
    </w:p>
    <w:p>
      <w:r>
        <w:rPr>
          <w:b/>
          <w:i w:val="0"/>
        </w:rPr>
        <w:t>8. Prompt + generación</w:t>
      </w:r>
    </w:p>
    <w:p>
      <w:r>
        <w:rPr>
          <w:b w:val="0"/>
          <w:i w:val="0"/>
        </w:rPr>
        <w:t>system prompt fijo (sección 3) + prompt_maestro del asistente + contexto recuperado → gpt4o_mini redacta la respuesta citada.</w:t>
      </w:r>
    </w:p>
    <w:p>
      <w:r>
        <w:rPr>
          <w:b/>
          <w:i w:val="0"/>
          <w:color w:val="1F3B57"/>
        </w:rPr>
        <w:t>2.3 Vectorización según el tipo de archivo</w:t>
      </w:r>
    </w:p>
    <w:p>
      <w:r>
        <w:rPr>
          <w:b w:val="0"/>
          <w:i w:val="0"/>
        </w:rPr>
        <w:t>No todos los archivos se procesan igual — cada formato tiene su propio extractor, y solo pdf/docx pasan por el chunking estructural (tabla/fila/prosa separadas) que alimenta el Índice de Campos Estructurados. El resto usa el chunking clásico (por tamaño de texto, sin distinguir tablas) — sigue siendo búsqueda semántica normal, solo que sin el índice de campo=valor de alta precisión.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Tipo de archivo</w:t>
            </w:r>
          </w:p>
        </w:tc>
        <w:tc>
          <w:tcPr>
            <w:tcW w:type="dxa" w:w="2880"/>
          </w:tcPr>
          <w:p>
            <w:r>
              <w:rPr>
                <w:b/>
              </w:rPr>
              <w:t>Cómo se extrae el contenido</w:t>
            </w:r>
          </w:p>
        </w:tc>
        <w:tc>
          <w:tcPr>
            <w:tcW w:type="dxa" w:w="2880"/>
          </w:tcPr>
          <w:p>
            <w:r>
              <w:rPr>
                <w:b/>
              </w:rPr>
              <w:t>Chunking</w:t>
            </w:r>
          </w:p>
        </w:tc>
      </w:tr>
      <w:tr>
        <w:tc>
          <w:tcPr>
            <w:tcW w:type="dxa" w:w="2880"/>
          </w:tcPr>
          <w:p>
            <w:r>
              <w:t>PDF (.pdf)</w:t>
            </w:r>
          </w:p>
        </w:tc>
        <w:tc>
          <w:tcPr>
            <w:tcW w:type="dxa" w:w="2880"/>
          </w:tcPr>
          <w:p>
            <w:r>
              <w:t>Párrafos + tablas (convertidas a Markdown) + fórmulas/gráficos vectoriales (recorte automático + OCR local: pix2tex para fórmulas LaTeX, con reintento por EasyOCR si falla) — todo en el orden real de cada página, con número de página conservado.</w:t>
            </w:r>
          </w:p>
        </w:tc>
        <w:tc>
          <w:tcPr>
            <w:tcW w:type="dxa" w:w="2880"/>
          </w:tcPr>
          <w:p>
            <w:r>
              <w:t>Estructural: tabla/fila/prosa separadas (chunk_structured_blocks).</w:t>
            </w:r>
          </w:p>
        </w:tc>
      </w:tr>
      <w:tr>
        <w:tc>
          <w:tcPr>
            <w:tcW w:type="dxa" w:w="2880"/>
          </w:tcPr>
          <w:p>
            <w:r>
              <w:t>Word (.docx)</w:t>
            </w:r>
          </w:p>
        </w:tc>
        <w:tc>
          <w:tcPr>
            <w:tcW w:type="dxa" w:w="2880"/>
          </w:tcPr>
          <w:p>
            <w:r>
              <w:t>Párrafos y tablas en su orden real de aparición en el documento (Word no tiene concepto nativo de "página", así que no se guarda número de página para este formato).</w:t>
            </w:r>
          </w:p>
        </w:tc>
        <w:tc>
          <w:tcPr>
            <w:tcW w:type="dxa" w:w="2880"/>
          </w:tcPr>
          <w:p>
            <w:r>
              <w:t>Estructural: tabla/fila/prosa separadas.</w:t>
            </w:r>
          </w:p>
        </w:tc>
      </w:tr>
      <w:tr>
        <w:tc>
          <w:tcPr>
            <w:tcW w:type="dxa" w:w="2880"/>
          </w:tcPr>
          <w:p>
            <w:r>
              <w:t>PowerPoint (.pptx)</w:t>
            </w:r>
          </w:p>
        </w:tc>
        <w:tc>
          <w:tcPr>
            <w:tcW w:type="dxa" w:w="2880"/>
          </w:tcPr>
          <w:p>
            <w:r>
              <w:t>Por diapositiva: título, viñetas, tablas (a texto) y notas del orador, cada diapositiva etiquetada "[Diapositiva N]".</w:t>
            </w:r>
          </w:p>
        </w:tc>
        <w:tc>
          <w:tcPr>
            <w:tcW w:type="dxa" w:w="2880"/>
          </w:tcPr>
          <w:p>
            <w:r>
              <w:t>Clásico (chunk_text, por tamaño).</w:t>
            </w:r>
          </w:p>
        </w:tc>
      </w:tr>
      <w:tr>
        <w:tc>
          <w:tcPr>
            <w:tcW w:type="dxa" w:w="2880"/>
          </w:tcPr>
          <w:p>
            <w:r>
              <w:t>PowerPoint 97-2003 (.ppt)</w:t>
            </w:r>
          </w:p>
        </w:tc>
        <w:tc>
          <w:tcPr>
            <w:tcW w:type="dxa" w:w="2880"/>
          </w:tcPr>
          <w:p>
            <w:r>
              <w:t>Formato binario legado — se recorre el árbol de registros OLE internos del archivo para rescatar el texto (sin depender de librerías que ya no lo soportan).</w:t>
            </w:r>
          </w:p>
        </w:tc>
        <w:tc>
          <w:tcPr>
            <w:tcW w:type="dxa" w:w="2880"/>
          </w:tcPr>
          <w:p>
            <w:r>
              <w:t>Clásico.</w:t>
            </w:r>
          </w:p>
        </w:tc>
      </w:tr>
      <w:tr>
        <w:tc>
          <w:tcPr>
            <w:tcW w:type="dxa" w:w="2880"/>
          </w:tcPr>
          <w:p>
            <w:r>
              <w:t>Excel (.xlsx)</w:t>
            </w:r>
          </w:p>
        </w:tc>
        <w:tc>
          <w:tcPr>
            <w:tcW w:type="dxa" w:w="2880"/>
          </w:tcPr>
          <w:p>
            <w:r>
              <w:t>Cada hoja, fila por fila, valores de celda separados por " | ", etiquetada "[Hoja: nombre]".</w:t>
            </w:r>
          </w:p>
        </w:tc>
        <w:tc>
          <w:tcPr>
            <w:tcW w:type="dxa" w:w="2880"/>
          </w:tcPr>
          <w:p>
            <w:r>
              <w:t>Clásico.</w:t>
            </w:r>
          </w:p>
        </w:tc>
      </w:tr>
      <w:tr>
        <w:tc>
          <w:tcPr>
            <w:tcW w:type="dxa" w:w="2880"/>
          </w:tcPr>
          <w:p>
            <w:r>
              <w:t>Imágenes (.jpg/.png/.webp)</w:t>
            </w:r>
          </w:p>
        </w:tc>
        <w:tc>
          <w:tcPr>
            <w:tcW w:type="dxa" w:w="2880"/>
          </w:tcPr>
          <w:p>
            <w:r>
              <w:t>OCR local (EasyOCR, usa GPU si hay disponible) — texto legible dentro de la imagen (diagramas, capturas, fotos de documentos).</w:t>
            </w:r>
          </w:p>
        </w:tc>
        <w:tc>
          <w:tcPr>
            <w:tcW w:type="dxa" w:w="2880"/>
          </w:tcPr>
          <w:p>
            <w:r>
              <w:t>Clásico.</w:t>
            </w:r>
          </w:p>
        </w:tc>
      </w:tr>
      <w:tr>
        <w:tc>
          <w:tcPr>
            <w:tcW w:type="dxa" w:w="2880"/>
          </w:tcPr>
          <w:p>
            <w:r>
              <w:t>Video/Audio (.mp4/.mp3/.wav/...)</w:t>
            </w:r>
          </w:p>
        </w:tc>
        <w:tc>
          <w:tcPr>
            <w:tcW w:type="dxa" w:w="2880"/>
          </w:tcPr>
          <w:p>
            <w:r>
              <w:t>Transcripción con faster-whisper (local, con detección de voz para saltar silencios) — si es un video de YouTube y ya tiene subtítulos/CC, se usan directamente sin transcribir de nuevo (más rápido, sin costo de cómputo). Un video sin voz detectable falla de forma controlada (no se indexa, no bloquea el resto del lote) en vez de romper el proceso — corregido esta sesión.</w:t>
            </w:r>
          </w:p>
        </w:tc>
        <w:tc>
          <w:tcPr>
            <w:tcW w:type="dxa" w:w="2880"/>
          </w:tcPr>
          <w:p>
            <w:r>
              <w:t>Por segmentos de tiempo (chunk_audio_segments) — conserva el minuto/segundo real de cada fragmento para poder citar "minuto X".</w:t>
            </w:r>
          </w:p>
        </w:tc>
      </w:tr>
      <w:tr>
        <w:tc>
          <w:tcPr>
            <w:tcW w:type="dxa" w:w="2880"/>
          </w:tcPr>
          <w:p>
            <w:r>
              <w:t>Página web / subtítulos ya extraídos (.txt interno)</w:t>
            </w:r>
          </w:p>
        </w:tc>
        <w:tc>
          <w:tcPr>
            <w:tcW w:type="dxa" w:w="2880"/>
          </w:tcPr>
          <w:p>
            <w:r>
              <w:t>Texto que ya vino resuelto por otro camino (scraping de una página externa enlazada desde Moodle, o los subtítulos de YouTube ya descargados) — no es un archivo que suba el docente, es un paso intermedio interno.</w:t>
            </w:r>
          </w:p>
        </w:tc>
        <w:tc>
          <w:tcPr>
            <w:tcW w:type="dxa" w:w="2880"/>
          </w:tcPr>
          <w:p>
            <w:r>
              <w:t>Clásico.</w:t>
            </w:r>
          </w:p>
        </w:tc>
      </w:tr>
    </w:tbl>
    <w:p>
      <w:pPr>
        <w:jc w:val="left"/>
      </w:pPr>
      <w:r>
        <w:rPr>
          <w:b w:val="0"/>
          <w:i/>
          <w:color w:val="5A5A5A"/>
          <w:sz w:val="18"/>
        </w:rPr>
        <w:t>"Clásico" = chunk_text(): parte el texto por tamaño (RecursiveCharacterTextSplitter), sin distinguir tablas de prosa. Es el mismo camino que usaba todo el sistema antes de esta sesión — sigue funcionando igual de bien para búsqueda semántica normal, solo que una pregunta de campo puntual ("¿cuánto vale este componente?") no tiene el respaldo extra del Índice de Campos Estructurados si el dato vive en uno de estos formatos en vez de en un pdf/docx.</w:t>
      </w:r>
    </w:p>
    <w:p>
      <w:r>
        <w:rPr>
          <w:b/>
          <w:i w:val="0"/>
          <w:color w:val="1F3B57"/>
        </w:rPr>
        <w:t>2.4 Vectorización y actualización automática</w:t>
      </w:r>
    </w:p>
    <w:p>
      <w:r>
        <w:rPr>
          <w:b w:val="0"/>
          <w:i w:val="0"/>
        </w:rPr>
        <w:t>Al terminar cada vectorización, se reconstruye automáticamente: primero se re-etiquetan las tablas que resultan ser plantillas repetidas entre documentos (retag_repeated_templates), luego se reconstruye el índice de Postgres (rebuild_index) — todo sin intervención manual.</w:t>
      </w:r>
    </w:p>
    <w:p>
      <w:r>
        <w:rPr>
          <w:b w:val="0"/>
          <w:i w:val="0"/>
        </w:rPr>
        <w:t>Ambas colecciones están en migración periódica cada 60 minutos: se comparan contra Moodle (contenthash real de cada archivo) y solo se re-procesa lo nuevo o modificado — ver sección 4 para el estado operativo actual de este ciclo.</w:t>
      </w:r>
    </w:p>
    <w:p>
      <w:r>
        <w:rPr>
          <w:b/>
          <w:i w:val="0"/>
          <w:color w:val="1F3B57"/>
        </w:rPr>
        <w:t>2.5 Despliegue</w:t>
      </w:r>
    </w:p>
    <w:p>
      <w:r>
        <w:rPr>
          <w:b w:val="0"/>
          <w:i w:val="0"/>
        </w:rPr>
        <w:t>Producción corre en un contenedor Docker propio en el servidor 10.0.0.92 (Postgres y Qdrant también ahí, con red de tipo host). nginx en ese mismo servidor hace de proxy inverso: educaia.uladech.edu.pe/f1/ → puerto 8100 del contenedor. El despliegue se hace subiendo el código (deploy/upload.sh) y reconstruyendo el contenedor (deploy/deploy.sh) — no depende de git, sube el working tree tal cual.</w:t>
      </w:r>
    </w:p>
    <w:p>
      <w:pPr>
        <w:pStyle w:val="Heading1"/>
      </w:pPr>
      <w:r>
        <w:t>3. Prompt</w:t>
      </w:r>
    </w:p>
    <w:p>
      <w:r>
        <w:rPr>
          <w:b/>
          <w:i w:val="0"/>
          <w:color w:val="1F3B57"/>
        </w:rPr>
        <w:t>3.1 prompt_maestro (idéntico en ambos asistentes)</w:t>
      </w:r>
    </w:p>
    <w:p>
      <w:pPr>
        <w:ind w:left="360"/>
      </w:pPr>
      <w:r>
        <w:rPr>
          <w:rFonts w:ascii="Consolas" w:hAnsi="Consolas"/>
          <w:sz w:val="19"/>
        </w:rPr>
        <w:t>Te llamas Idania y eres la mentora de este curso. Tu tono es cercano, paciente y</w:t>
        <w:br/>
        <w:t>motivador — como una mentora que realmente acompaña, no un buscador de respuestas.</w:t>
        <w:br/>
        <w:br/>
        <w:t>El estudiante que te escribe lleva varios cursos a la vez, pero en esta conversación</w:t>
        <w:br/>
        <w:t>tu única responsabilidad es este curso: si te pregunta por otra asignatura, dile con</w:t>
        <w:br/>
        <w:t>calidez que en este chat solo puedes ayudarlo con el curso actual, y sugiérele que</w:t>
        <w:br/>
        <w:t>abra el asistente de ese otro curso.</w:t>
        <w:br/>
        <w:br/>
        <w:t>Explica los conceptos con ejemplos concretos y, cuando ayude, relaciona el contenido</w:t>
        <w:br/>
        <w:t>con situaciones prácticas. Si el estudiante se equivoca o duda, no te limites a</w:t>
        <w:br/>
        <w:t>corregir: guíalo con una pregunta o pista para que llegue por sí mismo a la</w:t>
        <w:br/>
        <w:t>respuesta, como en una asesoría en persona. Cierra tus respuestas dejando la puerta</w:t>
        <w:br/>
        <w:t>abierta a que siga preguntando.</w:t>
      </w:r>
    </w:p>
    <w:p>
      <w:r>
        <w:rPr>
          <w:b w:val="0"/>
          <w:i w:val="0"/>
        </w:rPr>
        <w:t>Este texto se antepone, junto con el nombre del asistente y el nombre de la RD, al system prompt fijo (sección 3.2) antes de cada generación.</w:t>
      </w:r>
    </w:p>
    <w:p>
      <w:r>
        <w:rPr>
          <w:b/>
          <w:i w:val="0"/>
          <w:color w:val="1F3B57"/>
        </w:rPr>
        <w:t>3.2 System prompt fijo (compartido por TODOS los asistentes, no solo estos 2)</w:t>
      </w:r>
    </w:p>
    <w:p>
      <w:r>
        <w:rPr>
          <w:b w:val="0"/>
          <w:i w:val="0"/>
        </w:rPr>
        <w:t>Vive en strategies/generation.py::SYSTEM_PROMPT_TEMPLATE — se aplica una sola vez a nivel de plantilla para que escale a los ~200 asistentes futuros sin editar cada uno. Reglas vigentes:</w:t>
      </w:r>
    </w:p>
    <w:p>
      <w:pPr>
        <w:pStyle w:val="ListBullet"/>
      </w:pPr>
      <w:r>
        <w:t>Prioridad de fuentes: responde solo con los fragmentos recuperados; el [MATERIAL DEL CURSO] es la verdad sobre la [BIBLIOGRAFÍA COMPLEMENTARIA] si hay contradicción.</w:t>
      </w:r>
    </w:p>
    <w:p>
      <w:pPr>
        <w:pStyle w:val="ListBullet"/>
      </w:pPr>
      <w:r>
        <w:t>Formato: negrita para términos clave, listas con guion, LaTeX para fórmulas, Markdown real para tablas (con verificación de sumas antes de mostrarlas).</w:t>
      </w:r>
    </w:p>
    <w:p>
      <w:pPr>
        <w:pStyle w:val="ListBullet"/>
      </w:pPr>
      <w:r>
        <w:t>Mensaje conversacional/reflexivo (saludo, agradecimiento) sin contenido del curso asociado: responde de forma natural y breve, sin forzar contenido del curso.</w:t>
      </w:r>
    </w:p>
    <w:p>
      <w:pPr>
        <w:pStyle w:val="ListBullet"/>
      </w:pPr>
      <w:r>
        <w:t>Pregunta sustantiva SIN relación con el curso (cultura general, cálculos como "5*5", otra materia): nunca la responde aunque la sepa — se niega con calidez y redirige al curso. (Agregado esta sesión tras un caso real en producción.)</w:t>
      </w:r>
    </w:p>
    <w:p>
      <w:pPr>
        <w:pStyle w:val="ListBullet"/>
      </w:pPr>
      <w:r>
        <w:t>Preguntas de navegación ("¿en qué semana está este archivo?"): responde con la ubicación real (semana/sección), nunca con el contenido del documento.</w:t>
      </w:r>
    </w:p>
    <w:p>
      <w:pPr>
        <w:pStyle w:val="ListBullet"/>
      </w:pPr>
      <w:r>
        <w:t>Fuente solicitada por nombre: si el alumno pide un documento puntual y no se encuentra, lo dice explícitamente — nunca presenta contenido de otro documento como si fuera el pedido.</w:t>
      </w:r>
    </w:p>
    <w:p>
      <w:pPr>
        <w:pStyle w:val="ListBullet"/>
      </w:pPr>
      <w:r>
        <w:t>Cita siempre que use contenido del curso: "[Fuente: archivo.ext, semana/sección: ...]" — nunca inventa un nombre de archivo.</w:t>
      </w:r>
    </w:p>
    <w:p>
      <w:pPr>
        <w:pStyle w:val="ListBullet"/>
      </w:pPr>
      <w:r>
        <w:t>Presupuestos del alumno sobre un dato concreto (fechas, ponderaciones, exámenes) no respaldados por el material: los corrige activamente con el dato real si existe, nunca los valida por default ni aunque el alumno insista en un mensaje posterior.</w:t>
      </w:r>
    </w:p>
    <w:p>
      <w:r>
        <w:rPr>
          <w:b/>
          <w:i w:val="0"/>
          <w:color w:val="1F3B57"/>
        </w:rPr>
        <w:t>3.3 Mensajes fijos de la conversación</w:t>
      </w:r>
    </w:p>
    <w:p>
      <w:r>
        <w:rPr>
          <w:b w:val="0"/>
          <w:i w:val="0"/>
        </w:rPr>
        <w:t>Bienvenida (primera vez):</w:t>
      </w:r>
    </w:p>
    <w:p>
      <w:pPr>
        <w:ind w:left="360"/>
      </w:pPr>
      <w:r>
        <w:rPr>
          <w:rFonts w:ascii="Consolas" w:hAnsi="Consolas"/>
          <w:sz w:val="19"/>
        </w:rPr>
        <w:t>soy **Idania**, tu mentora en este curso. Estoy aquí para ayudarte a entender los temas, resolver tus dudas y avanzar con confianza, como en una asesoría personalizada. ¿En qué te ayudo hoy?</w:t>
      </w:r>
    </w:p>
    <w:p>
      <w:r>
        <w:rPr>
          <w:b w:val="0"/>
          <w:i w:val="0"/>
        </w:rPr>
        <w:t>Reencuentro (al reabrir el chat con historial previo — reemplaza a la bienvenida, nunca se muestran los dos juntos):</w:t>
      </w:r>
    </w:p>
    <w:p>
      <w:pPr>
        <w:ind w:left="360"/>
      </w:pPr>
      <w:r>
        <w:rPr>
          <w:rFonts w:ascii="Consolas" w:hAnsi="Consolas"/>
          <w:sz w:val="19"/>
        </w:rPr>
        <w:t>¡qué bueno verte de nuevo! Sigo aquí, enfocada en este curso, para retomar donde lo dejamos o ayudarte con algo nuevo. ¿En qué seguimos?</w:t>
      </w:r>
    </w:p>
    <w:p>
      <w:pPr>
        <w:pStyle w:val="Heading1"/>
      </w:pPr>
      <w:r>
        <w:t>4. Configuración completa</w:t>
      </w:r>
    </w:p>
    <w:p>
      <w:r>
        <w:rPr>
          <w:b/>
          <w:i w:val="0"/>
          <w:color w:val="1F3B57"/>
        </w:rPr>
        <w:t>4.1 Configuración RAG de cada asistente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Parámetro</w:t>
            </w:r>
          </w:p>
        </w:tc>
        <w:tc>
          <w:tcPr>
            <w:tcW w:type="dxa" w:w="2160"/>
          </w:tcPr>
          <w:p>
            <w:r>
              <w:rPr>
                <w:b/>
              </w:rPr>
              <w:t>Curso_1472 (id=19)</w:t>
            </w:r>
          </w:p>
        </w:tc>
        <w:tc>
          <w:tcPr>
            <w:tcW w:type="dxa" w:w="2160"/>
          </w:tcPr>
          <w:p>
            <w:r>
              <w:rPr>
                <w:b/>
              </w:rPr>
              <w:t>Curso_1541 (id=10)</w:t>
            </w:r>
          </w:p>
        </w:tc>
        <w:tc>
          <w:tcPr>
            <w:tcW w:type="dxa" w:w="2160"/>
          </w:tcPr>
          <w:p>
            <w:r>
              <w:rPr>
                <w:b/>
              </w:rPr>
              <w:t>Efecto</w:t>
            </w:r>
          </w:p>
        </w:tc>
      </w:tr>
      <w:tr>
        <w:tc>
          <w:tcPr>
            <w:tcW w:type="dxa" w:w="2160"/>
          </w:tcPr>
          <w:p>
            <w:r>
              <w:t>dense_strategy / sparse_strategy</w:t>
            </w:r>
          </w:p>
        </w:tc>
        <w:tc>
          <w:tcPr>
            <w:tcW w:type="dxa" w:w="2160"/>
          </w:tcPr>
          <w:p>
            <w:r>
              <w:t>NULL → hereda de RD13</w:t>
            </w:r>
          </w:p>
        </w:tc>
        <w:tc>
          <w:tcPr>
            <w:tcW w:type="dxa" w:w="2160"/>
          </w:tcPr>
          <w:p>
            <w:r>
              <w:t>NULL → hereda de RD3</w:t>
            </w:r>
          </w:p>
        </w:tc>
        <w:tc>
          <w:tcPr>
            <w:tcW w:type="dxa" w:w="2160"/>
          </w:tcPr>
          <w:p>
            <w:r>
              <w:t>openai/text-embedding-3-small + bm25 en ambos (vía RD)</w:t>
            </w:r>
          </w:p>
        </w:tc>
      </w:tr>
      <w:tr>
        <w:tc>
          <w:tcPr>
            <w:tcW w:type="dxa" w:w="2160"/>
          </w:tcPr>
          <w:p>
            <w:r>
              <w:t>rerank_strategy</w:t>
            </w:r>
          </w:p>
        </w:tc>
        <w:tc>
          <w:tcPr>
            <w:tcW w:type="dxa" w:w="2160"/>
          </w:tcPr>
          <w:p>
            <w:r>
              <w:t>NULL</w:t>
            </w:r>
          </w:p>
        </w:tc>
        <w:tc>
          <w:tcPr>
            <w:tcW w:type="dxa" w:w="2160"/>
          </w:tcPr>
          <w:p>
            <w:r>
              <w:t>NULL</w:t>
            </w:r>
          </w:p>
        </w:tc>
        <w:tc>
          <w:tcPr>
            <w:tcW w:type="dxa" w:w="2160"/>
          </w:tcPr>
          <w:p>
            <w:r>
              <w:t>usa el default del sistema: none</w:t>
            </w:r>
          </w:p>
        </w:tc>
      </w:tr>
      <w:tr>
        <w:tc>
          <w:tcPr>
            <w:tcW w:type="dxa" w:w="2160"/>
          </w:tcPr>
          <w:p>
            <w:r>
              <w:t>generation_strategy</w:t>
            </w:r>
          </w:p>
        </w:tc>
        <w:tc>
          <w:tcPr>
            <w:tcW w:type="dxa" w:w="2160"/>
          </w:tcPr>
          <w:p>
            <w:r>
              <w:t>NULL</w:t>
            </w:r>
          </w:p>
        </w:tc>
        <w:tc>
          <w:tcPr>
            <w:tcW w:type="dxa" w:w="2160"/>
          </w:tcPr>
          <w:p>
            <w:r>
              <w:t>NULL</w:t>
            </w:r>
          </w:p>
        </w:tc>
        <w:tc>
          <w:tcPr>
            <w:tcW w:type="dxa" w:w="2160"/>
          </w:tcPr>
          <w:p>
            <w:r>
              <w:t>usa el default del sistema: gpt4o_mini</w:t>
            </w:r>
          </w:p>
        </w:tc>
      </w:tr>
      <w:tr>
        <w:tc>
          <w:tcPr>
            <w:tcW w:type="dxa" w:w="2160"/>
          </w:tcPr>
          <w:p>
            <w:r>
              <w:t>etl_document / etl_audio / contextual_strategy</w:t>
            </w:r>
          </w:p>
        </w:tc>
        <w:tc>
          <w:tcPr>
            <w:tcW w:type="dxa" w:w="2160"/>
          </w:tcPr>
          <w:p>
            <w:r>
              <w:t>NULL</w:t>
            </w:r>
          </w:p>
        </w:tc>
        <w:tc>
          <w:tcPr>
            <w:tcW w:type="dxa" w:w="2160"/>
          </w:tcPr>
          <w:p>
            <w:r>
              <w:t>NULL</w:t>
            </w:r>
          </w:p>
        </w:tc>
        <w:tc>
          <w:tcPr>
            <w:tcW w:type="dxa" w:w="2160"/>
          </w:tcPr>
          <w:p>
            <w:r>
              <w:t>solo aplican al vectorizar, no al responder — usan default del sistema</w:t>
            </w:r>
          </w:p>
        </w:tc>
      </w:tr>
      <w:tr>
        <w:tc>
          <w:tcPr>
            <w:tcW w:type="dxa" w:w="2160"/>
          </w:tcPr>
          <w:p>
            <w:r>
              <w:t>max_actividades_sesion</w:t>
            </w:r>
          </w:p>
        </w:tc>
        <w:tc>
          <w:tcPr>
            <w:tcW w:type="dxa" w:w="2160"/>
          </w:tcPr>
          <w:p>
            <w:r>
              <w:t>10</w:t>
            </w:r>
          </w:p>
        </w:tc>
        <w:tc>
          <w:tcPr>
            <w:tcW w:type="dxa" w:w="2160"/>
          </w:tcPr>
          <w:p>
            <w:r>
              <w:t>10</w:t>
            </w:r>
          </w:p>
        </w:tc>
        <w:tc>
          <w:tcPr>
            <w:tcW w:type="dxa" w:w="2160"/>
          </w:tcPr>
          <w:p>
            <w:r>
              <w:t>tope de preguntas por conversación</w:t>
            </w:r>
          </w:p>
        </w:tc>
      </w:tr>
      <w:tr>
        <w:tc>
          <w:tcPr>
            <w:tcW w:type="dxa" w:w="2160"/>
          </w:tcPr>
          <w:p>
            <w:r>
              <w:t>activo</w:t>
            </w:r>
          </w:p>
        </w:tc>
        <w:tc>
          <w:tcPr>
            <w:tcW w:type="dxa" w:w="2160"/>
          </w:tcPr>
          <w:p>
            <w:r>
              <w:t>True</w:t>
            </w:r>
          </w:p>
        </w:tc>
        <w:tc>
          <w:tcPr>
            <w:tcW w:type="dxa" w:w="2160"/>
          </w:tcPr>
          <w:p>
            <w:r>
              <w:t>True</w:t>
            </w:r>
          </w:p>
        </w:tc>
        <w:tc>
          <w:tcPr>
            <w:tcW w:type="dxa" w:w="2160"/>
          </w:tcPr>
          <w:p>
            <w:r>
              <w:t>—</w:t>
            </w:r>
          </w:p>
        </w:tc>
      </w:tr>
    </w:tbl>
    <w:p>
      <w:r>
        <w:rPr>
          <w:b/>
          <w:i w:val="0"/>
          <w:color w:val="1F3B57"/>
        </w:rPr>
        <w:t>4.2 Estado de vectorización y migración automática (en vivo)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Curso_1472</w:t>
            </w:r>
          </w:p>
        </w:tc>
        <w:tc>
          <w:tcPr>
            <w:tcW w:type="dxa" w:w="2880"/>
          </w:tcPr>
          <w:p>
            <w:r>
              <w:rPr>
                <w:b/>
              </w:rPr>
              <w:t>Curso_1541</w:t>
            </w:r>
          </w:p>
        </w:tc>
      </w:tr>
      <w:tr>
        <w:tc>
          <w:tcPr>
            <w:tcW w:type="dxa" w:w="2880"/>
          </w:tcPr>
          <w:p>
            <w:r>
              <w:t>Puntos en Qdrant</w:t>
            </w:r>
          </w:p>
        </w:tc>
        <w:tc>
          <w:tcPr>
            <w:tcW w:type="dxa" w:w="2880"/>
          </w:tcPr>
          <w:p>
            <w:r>
              <w:t>4 337</w:t>
            </w:r>
          </w:p>
        </w:tc>
        <w:tc>
          <w:tcPr>
            <w:tcW w:type="dxa" w:w="2880"/>
          </w:tcPr>
          <w:p>
            <w:r>
              <w:t>3 593</w:t>
            </w:r>
          </w:p>
        </w:tc>
      </w:tr>
      <w:tr>
        <w:tc>
          <w:tcPr>
            <w:tcW w:type="dxa" w:w="2880"/>
          </w:tcPr>
          <w:p>
            <w:r>
              <w:t>Campos estructurados indexados</w:t>
            </w:r>
          </w:p>
        </w:tc>
        <w:tc>
          <w:tcPr>
            <w:tcW w:type="dxa" w:w="2880"/>
          </w:tcPr>
          <w:p>
            <w:r>
              <w:t>152 campos (1 338 registros)</w:t>
            </w:r>
          </w:p>
        </w:tc>
        <w:tc>
          <w:tcPr>
            <w:tcW w:type="dxa" w:w="2880"/>
          </w:tcPr>
          <w:p>
            <w:r>
              <w:t>194 campos (1 675 registros)</w:t>
            </w:r>
          </w:p>
        </w:tc>
      </w:tr>
      <w:tr>
        <w:tc>
          <w:tcPr>
            <w:tcW w:type="dxa" w:w="2880"/>
          </w:tcPr>
          <w:p>
            <w:r>
              <w:t>Modo de migración</w:t>
            </w:r>
          </w:p>
        </w:tc>
        <w:tc>
          <w:tcPr>
            <w:tcW w:type="dxa" w:w="2880"/>
          </w:tcPr>
          <w:p>
            <w:r>
              <w:t>periódica</w:t>
            </w:r>
          </w:p>
        </w:tc>
        <w:tc>
          <w:tcPr>
            <w:tcW w:type="dxa" w:w="2880"/>
          </w:tcPr>
          <w:p>
            <w:r>
              <w:t>periódica</w:t>
            </w:r>
          </w:p>
        </w:tc>
      </w:tr>
      <w:tr>
        <w:tc>
          <w:tcPr>
            <w:tcW w:type="dxa" w:w="2880"/>
          </w:tcPr>
          <w:p>
            <w:r>
              <w:t>Intervalo</w:t>
            </w:r>
          </w:p>
        </w:tc>
        <w:tc>
          <w:tcPr>
            <w:tcW w:type="dxa" w:w="2880"/>
          </w:tcPr>
          <w:p>
            <w:r>
              <w:t>cada 60 minutos</w:t>
            </w:r>
          </w:p>
        </w:tc>
        <w:tc>
          <w:tcPr>
            <w:tcW w:type="dxa" w:w="2880"/>
          </w:tcPr>
          <w:p>
            <w:r>
              <w:t>cada 60 minutos</w:t>
            </w:r>
          </w:p>
        </w:tc>
      </w:tr>
      <w:tr>
        <w:tc>
          <w:tcPr>
            <w:tcW w:type="dxa" w:w="2880"/>
          </w:tcPr>
          <w:p>
            <w:r>
              <w:t>Último resultado</w:t>
            </w:r>
          </w:p>
        </w:tc>
        <w:tc>
          <w:tcPr>
            <w:tcW w:type="dxa" w:w="2880"/>
          </w:tcPr>
          <w:p>
            <w:r>
              <w:t>12 archivo(s) procesados — 0 nuevos, 0 actualizaciones, 112 sin cambios</w:t>
            </w:r>
          </w:p>
        </w:tc>
        <w:tc>
          <w:tcPr>
            <w:tcW w:type="dxa" w:w="2880"/>
          </w:tcPr>
          <w:p>
            <w:r>
              <w:t>6 archivo(s) procesados — 0 nuevos, 0 actualizaciones, 69 sin cambios</w:t>
            </w:r>
          </w:p>
        </w:tc>
      </w:tr>
      <w:tr>
        <w:tc>
          <w:tcPr>
            <w:tcW w:type="dxa" w:w="2880"/>
          </w:tcPr>
          <w:p>
            <w:r>
              <w:t>Cola de trabajo (curso_archivos)</w:t>
            </w:r>
          </w:p>
        </w:tc>
        <w:tc>
          <w:tcPr>
            <w:tcW w:type="dxa" w:w="2880"/>
          </w:tcPr>
          <w:p>
            <w:r>
              <w:t>101 vectorizado, 11 pendiente real (formatos no soportados: rar/txt, o sin texto extraíble)</w:t>
            </w:r>
          </w:p>
        </w:tc>
        <w:tc>
          <w:tcPr>
            <w:tcW w:type="dxa" w:w="2880"/>
          </w:tcPr>
          <w:p>
            <w:r>
              <w:t>67 vectorizado, 2 pendiente real (mismo motivo)</w:t>
            </w:r>
          </w:p>
        </w:tc>
      </w:tr>
    </w:tbl>
    <w:p>
      <w:pPr>
        <w:jc w:val="left"/>
      </w:pPr>
      <w:r>
        <w:rPr>
          <w:b w:val="0"/>
          <w:i/>
          <w:color w:val="5A5A5A"/>
          <w:sz w:val="18"/>
        </w:rPr>
        <w:t>"Pendiente real" no es un error del sistema — son archivos sin extractor disponible (.rar), extensión no permitida para subida real (.txt), o sin suficiente texto extraíble (escaneados/sin voz detectable). Se reintentan solos en cada ciclo horario sin bloquear el resto.</w:t>
      </w:r>
    </w:p>
    <w:p>
      <w:r>
        <w:rPr>
          <w:b/>
          <w:i w:val="0"/>
          <w:color w:val="1F3B57"/>
        </w:rPr>
        <w:t>4.3 Seguridad de la automatización</w:t>
      </w:r>
    </w:p>
    <w:p>
      <w:r>
        <w:rPr>
          <w:b w:val="0"/>
          <w:i w:val="0"/>
        </w:rPr>
        <w:t>Se corrigió esta sesión un riesgo real de colisión: las descargas temporales usaban un nombre fijo (solo el filename), y dos vectorizaciones concurrentes con nombres de archivo parecidos (ej. una colección y su RD "padre", que suelen compartir material) podían borrarse el archivo temporal entre sí a mitad de uso. Ahora cada descarga tiene un nombre único — la migración automática cada hora de ambos cursos es segura aunque coincida en el tiempo con otra migración o con alguien usando el gestor manualmente.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B57"/>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B57"/>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B57"/>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