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Configuración de los asistentes Idania — Curso_1472 y Curso_1541</w:t>
      </w:r>
    </w:p>
    <w:p>
      <w:r>
        <w:rPr>
          <w:b w:val="0"/>
          <w:i/>
        </w:rPr>
        <w:t>Estado final tras migrar la data vectorizada experimental a las colecciones canónicas y ajustar la configuración RAG de ambos asistentes.</w:t>
      </w:r>
    </w:p>
    <w:p>
      <w:pPr>
        <w:pStyle w:val="Heading1"/>
      </w:pPr>
      <w:r>
        <w:t>1. Migración de datos realizada</w:t>
      </w:r>
    </w:p>
    <w:p>
      <w:r>
        <w:rPr>
          <w:b w:val="0"/>
          <w:i w:val="0"/>
        </w:rPr>
        <w:t>Se reemplazó el contenido de las colecciones canónicas Curso_1472 y Curso_1541 (que tenían el chunking viejo, sin separación de tablas ni índice estructurado) por el contenido trabajado y validado toda la sesión en Curso_1472_experiment_v2 / Curso_1541_experiment_v2 (pipeline estructural + Índice de Campos Estructurados + arquitectura sin router 3.7).</w:t>
      </w:r>
    </w:p>
    <w:p>
      <w:r>
        <w:rPr>
          <w:b w:val="0"/>
          <w:i w:val="0"/>
          <w:color w:val="B35C00"/>
        </w:rPr>
        <w:t>Antes de tocar nada se tomó un snapshot real de Qdrant de ambas colecciones originales (Curso_1472: 68 MB: Curso_1541: 48 MB) como red de seguridad.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Colección canónica</w:t>
            </w:r>
          </w:p>
        </w:tc>
        <w:tc>
          <w:tcPr>
            <w:tcW w:type="dxa" w:w="2160"/>
          </w:tcPr>
          <w:p>
            <w:r>
              <w:rPr>
                <w:b/>
              </w:rPr>
              <w:t>Puntos</w:t>
            </w:r>
          </w:p>
        </w:tc>
        <w:tc>
          <w:tcPr>
            <w:tcW w:type="dxa" w:w="2160"/>
          </w:tcPr>
          <w:p>
            <w:r>
              <w:rPr>
                <w:b/>
              </w:rPr>
              <w:t>Campos estructurados indexados</w:t>
            </w:r>
          </w:p>
        </w:tc>
        <w:tc>
          <w:tcPr>
            <w:tcW w:type="dxa" w:w="2160"/>
          </w:tcPr>
          <w:p>
            <w:r>
              <w:rPr>
                <w:b/>
              </w:rPr>
              <w:t>Estado</w:t>
            </w:r>
          </w:p>
        </w:tc>
      </w:tr>
      <w:tr>
        <w:tc>
          <w:tcPr>
            <w:tcW w:type="dxa" w:w="2160"/>
          </w:tcPr>
          <w:p>
            <w:r>
              <w:t>Curso_1472</w:t>
            </w:r>
          </w:p>
        </w:tc>
        <w:tc>
          <w:tcPr>
            <w:tcW w:type="dxa" w:w="2160"/>
          </w:tcPr>
          <w:p>
            <w:r>
              <w:t>4 329</w:t>
            </w:r>
          </w:p>
        </w:tc>
        <w:tc>
          <w:tcPr>
            <w:tcW w:type="dxa" w:w="2160"/>
          </w:tcPr>
          <w:p>
            <w:r>
              <w:t>152 campos distintos (1 370 registros)</w:t>
            </w:r>
          </w:p>
        </w:tc>
        <w:tc>
          <w:tcPr>
            <w:tcW w:type="dxa" w:w="2160"/>
          </w:tcPr>
          <w:p>
            <w:r>
              <w:t>OK — verificado</w:t>
            </w:r>
          </w:p>
        </w:tc>
      </w:tr>
      <w:tr>
        <w:tc>
          <w:tcPr>
            <w:tcW w:type="dxa" w:w="2160"/>
          </w:tcPr>
          <w:p>
            <w:r>
              <w:t>Curso_1541</w:t>
            </w:r>
          </w:p>
        </w:tc>
        <w:tc>
          <w:tcPr>
            <w:tcW w:type="dxa" w:w="2160"/>
          </w:tcPr>
          <w:p>
            <w:r>
              <w:t>3 536</w:t>
            </w:r>
          </w:p>
        </w:tc>
        <w:tc>
          <w:tcPr>
            <w:tcW w:type="dxa" w:w="2160"/>
          </w:tcPr>
          <w:p>
            <w:r>
              <w:t>194 campos distintos (1 675 registros)</w:t>
            </w:r>
          </w:p>
        </w:tc>
        <w:tc>
          <w:tcPr>
            <w:tcW w:type="dxa" w:w="2160"/>
          </w:tcPr>
          <w:p>
            <w:r>
              <w:t>OK — verificado</w:t>
            </w:r>
          </w:p>
        </w:tc>
      </w:tr>
    </w:tbl>
    <w:p>
      <w:r>
        <w:rPr>
          <w:b w:val="0"/>
          <w:i w:val="0"/>
          <w:color w:val="B35C00"/>
        </w:rPr>
        <w:t>Nota de incidente durante la migración: el primer intento de copiar Curso_1541 se topó con que la colección canónica YA tenía datos (su contenido viejo, nunca tocado hasta ese punto) — el script, pensado para reanudar una copia parcial, los mezcló en vez de reemplazarlos (quedaron 6 593 puntos, mezcla vieja+nueva). Se detectó por la verificación automática de conteo (assert), se detuvo antes de propagar el problema (la colección de Postgres seguía apuntando a la copia experimental intacta, ningún asistente en vivo se vio afectado), y se corrigió borrando y recreando Curso_1541 limpia solo desde la fuente correcta. Verificado: 3 536 puntos exactos tras la corrección.</w:t>
      </w:r>
    </w:p>
    <w:p>
      <w:r>
        <w:rPr>
          <w:b w:val="0"/>
          <w:i w:val="0"/>
        </w:rPr>
        <w:t>Las colecciones experimentales (Curso_1472_experiment_v2 / Curso_1541_experiment_v2) NO se borraron — quedan como copia adicional de respaldo, sin costo relevante de mantenerlas.</w:t>
      </w:r>
    </w:p>
    <w:p>
      <w:pPr>
        <w:pStyle w:val="Heading1"/>
      </w:pPr>
      <w:r>
        <w:t>2. Ajuste de configuración RAG</w:t>
      </w:r>
    </w:p>
    <w:p>
      <w:r>
        <w:rPr>
          <w:b w:val="0"/>
          <w:i w:val="0"/>
        </w:rPr>
        <w:t>Se encontró que ambos asistentes tenían dense_strategy/sparse_strategy en NULL a nivel de asistente — dependían de que la RD asociada tuviera el valor correcto Y de que la resolución RD↔colección no fallara. Ya se había visto este mismo patrón causar un error real durante la sesión (una sesión con colección desactualizada en caché cayó al modelo por defecto del sistema, de 384 dimensiones, incompatible con la colección de 1536). Se corrigió fijando el valor explícitamente a nivel de asistente, sin depender de la 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Parámetro</w:t>
            </w:r>
          </w:p>
        </w:tc>
        <w:tc>
          <w:tcPr>
            <w:tcW w:type="dxa" w:w="2880"/>
          </w:tcPr>
          <w:p>
            <w:r>
              <w:rPr>
                <w:b/>
              </w:rPr>
              <w:t>Antes</w:t>
            </w:r>
          </w:p>
        </w:tc>
        <w:tc>
          <w:tcPr>
            <w:tcW w:type="dxa" w:w="2880"/>
          </w:tcPr>
          <w:p>
            <w:r>
              <w:rPr>
                <w:b/>
              </w:rPr>
              <w:t>Ahora (fijado explícito)</w:t>
            </w:r>
          </w:p>
        </w:tc>
      </w:tr>
      <w:tr>
        <w:tc>
          <w:tcPr>
            <w:tcW w:type="dxa" w:w="2880"/>
          </w:tcPr>
          <w:p>
            <w:r>
              <w:t>dense_strategy</w:t>
            </w:r>
          </w:p>
        </w:tc>
        <w:tc>
          <w:tcPr>
            <w:tcW w:type="dxa" w:w="2880"/>
          </w:tcPr>
          <w:p>
            <w:r>
              <w:t>NULL (dependía de la RD)</w:t>
            </w:r>
          </w:p>
        </w:tc>
        <w:tc>
          <w:tcPr>
            <w:tcW w:type="dxa" w:w="2880"/>
          </w:tcPr>
          <w:p>
            <w:r>
              <w:t>openai/text-embedding-3-small</w:t>
            </w:r>
          </w:p>
        </w:tc>
      </w:tr>
      <w:tr>
        <w:tc>
          <w:tcPr>
            <w:tcW w:type="dxa" w:w="2880"/>
          </w:tcPr>
          <w:p>
            <w:r>
              <w:t>sparse_strategy</w:t>
            </w:r>
          </w:p>
        </w:tc>
        <w:tc>
          <w:tcPr>
            <w:tcW w:type="dxa" w:w="2880"/>
          </w:tcPr>
          <w:p>
            <w:r>
              <w:t>NULL (dependía de la RD)</w:t>
            </w:r>
          </w:p>
        </w:tc>
        <w:tc>
          <w:tcPr>
            <w:tcW w:type="dxa" w:w="2880"/>
          </w:tcPr>
          <w:p>
            <w:r>
              <w:t>bm25</w:t>
            </w:r>
          </w:p>
        </w:tc>
      </w:tr>
      <w:tr>
        <w:tc>
          <w:tcPr>
            <w:tcW w:type="dxa" w:w="2880"/>
          </w:tcPr>
          <w:p>
            <w:r>
              <w:t>rerank_strategy</w:t>
            </w:r>
          </w:p>
        </w:tc>
        <w:tc>
          <w:tcPr>
            <w:tcW w:type="dxa" w:w="2880"/>
          </w:tcPr>
          <w:p>
            <w:r>
              <w:t>NULL</w:t>
            </w:r>
          </w:p>
        </w:tc>
        <w:tc>
          <w:tcPr>
            <w:tcW w:type="dxa" w:w="2880"/>
          </w:tcPr>
          <w:p>
            <w:r>
              <w:t>NULL (usa el default del sistema: none)</w:t>
            </w:r>
          </w:p>
        </w:tc>
      </w:tr>
      <w:tr>
        <w:tc>
          <w:tcPr>
            <w:tcW w:type="dxa" w:w="2880"/>
          </w:tcPr>
          <w:p>
            <w:r>
              <w:t>generation_strategy</w:t>
            </w:r>
          </w:p>
        </w:tc>
        <w:tc>
          <w:tcPr>
            <w:tcW w:type="dxa" w:w="2880"/>
          </w:tcPr>
          <w:p>
            <w:r>
              <w:t>NULL</w:t>
            </w:r>
          </w:p>
        </w:tc>
        <w:tc>
          <w:tcPr>
            <w:tcW w:type="dxa" w:w="2880"/>
          </w:tcPr>
          <w:p>
            <w:r>
              <w:t>NULL (usa el default del sistema: gpt4o_mini — coincide con lo validado toda la sesión)</w:t>
            </w:r>
          </w:p>
        </w:tc>
      </w:tr>
    </w:tbl>
    <w:p>
      <w:pPr>
        <w:pStyle w:val="Heading1"/>
      </w:pPr>
      <w:r>
        <w:t>3. Ficha de cada asistente</w:t>
      </w:r>
    </w:p>
    <w:p>
      <w:pPr>
        <w:pStyle w:val="Heading2"/>
      </w:pPr>
      <w:r>
        <w:t>Curso_1472 — Introducción a la Odontología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Valor</w:t>
            </w:r>
          </w:p>
        </w:tc>
      </w:tr>
      <w:tr>
        <w:tc>
          <w:tcPr>
            <w:tcW w:type="dxa" w:w="4320"/>
          </w:tcPr>
          <w:p>
            <w:r>
              <w:t>Token público</w:t>
            </w:r>
          </w:p>
        </w:tc>
        <w:tc>
          <w:tcPr>
            <w:tcW w:type="dxa" w:w="4320"/>
          </w:tcPr>
          <w:p>
            <w:r>
              <w:t>Q3rF7vMx5TaZ9p</w:t>
            </w:r>
          </w:p>
        </w:tc>
      </w:tr>
      <w:tr>
        <w:tc>
          <w:tcPr>
            <w:tcW w:type="dxa" w:w="4320"/>
          </w:tcPr>
          <w:p>
            <w:r>
              <w:t>URL de prueba</w:t>
            </w:r>
          </w:p>
        </w:tc>
        <w:tc>
          <w:tcPr>
            <w:tcW w:type="dxa" w:w="4320"/>
          </w:tcPr>
          <w:p>
            <w:r>
              <w:t>http://localhost:8100/asistente/Q3rF7vMx5TaZ9p?courseid=1472&amp;userid=&lt;id&gt;</w:t>
            </w:r>
          </w:p>
        </w:tc>
      </w:tr>
      <w:tr>
        <w:tc>
          <w:tcPr>
            <w:tcW w:type="dxa" w:w="4320"/>
          </w:tcPr>
          <w:p>
            <w:r>
              <w:t>Nombre</w:t>
            </w:r>
          </w:p>
        </w:tc>
        <w:tc>
          <w:tcPr>
            <w:tcW w:type="dxa" w:w="4320"/>
          </w:tcPr>
          <w:p>
            <w:r>
              <w:t>Idania</w:t>
            </w:r>
          </w:p>
        </w:tc>
      </w:tr>
      <w:tr>
        <w:tc>
          <w:tcPr>
            <w:tcW w:type="dxa" w:w="4320"/>
          </w:tcPr>
          <w:p>
            <w:r>
              <w:t>Activo</w:t>
            </w:r>
          </w:p>
        </w:tc>
        <w:tc>
          <w:tcPr>
            <w:tcW w:type="dxa" w:w="4320"/>
          </w:tcPr>
          <w:p>
            <w:r>
              <w:t>Sí</w:t>
            </w:r>
          </w:p>
        </w:tc>
      </w:tr>
      <w:tr>
        <w:tc>
          <w:tcPr>
            <w:tcW w:type="dxa" w:w="4320"/>
          </w:tcPr>
          <w:p>
            <w:r>
              <w:t>RD</w:t>
            </w:r>
          </w:p>
        </w:tc>
        <w:tc>
          <w:tcPr>
            <w:tcW w:type="dxa" w:w="4320"/>
          </w:tcPr>
          <w:p>
            <w:r>
              <w:t>RD-PRE-ODONTOLOGIA-PR-INTRODUCCION A LA ODONTOLOGIA (id=13, courseid base 173)</w:t>
            </w:r>
          </w:p>
        </w:tc>
      </w:tr>
      <w:tr>
        <w:tc>
          <w:tcPr>
            <w:tcW w:type="dxa" w:w="4320"/>
          </w:tcPr>
          <w:p>
            <w:r>
              <w:t>Colección Qdrant</w:t>
            </w:r>
          </w:p>
        </w:tc>
        <w:tc>
          <w:tcPr>
            <w:tcW w:type="dxa" w:w="4320"/>
          </w:tcPr>
          <w:p>
            <w:r>
              <w:t>Curso_1472 (canónica, recién migrada)</w:t>
            </w:r>
          </w:p>
        </w:tc>
      </w:tr>
      <w:tr>
        <w:tc>
          <w:tcPr>
            <w:tcW w:type="dxa" w:w="4320"/>
          </w:tcPr>
          <w:p>
            <w:r>
              <w:t>Otros cursos que sirve la misma RD</w:t>
            </w:r>
          </w:p>
        </w:tc>
        <w:tc>
          <w:tcPr>
            <w:tcW w:type="dxa" w:w="4320"/>
          </w:tcPr>
          <w:p>
            <w:r>
              <w:t>Curso_173, Curso_1606 (chunking viejo — NO migrados, fuera del alcance de esta fase)</w:t>
            </w:r>
          </w:p>
        </w:tc>
      </w:tr>
      <w:tr>
        <w:tc>
          <w:tcPr>
            <w:tcW w:type="dxa" w:w="4320"/>
          </w:tcPr>
          <w:p>
            <w:r>
              <w:t>dense_strategy / sparse_strategy</w:t>
            </w:r>
          </w:p>
        </w:tc>
        <w:tc>
          <w:tcPr>
            <w:tcW w:type="dxa" w:w="4320"/>
          </w:tcPr>
          <w:p>
            <w:r>
              <w:t>openai/text-embedding-3-small / bm25</w:t>
            </w:r>
          </w:p>
        </w:tc>
      </w:tr>
      <w:tr>
        <w:tc>
          <w:tcPr>
            <w:tcW w:type="dxa" w:w="4320"/>
          </w:tcPr>
          <w:p>
            <w:r>
              <w:t>max_actividades_sesion</w:t>
            </w:r>
          </w:p>
        </w:tc>
        <w:tc>
          <w:tcPr>
            <w:tcW w:type="dxa" w:w="4320"/>
          </w:tcPr>
          <w:p>
            <w:r>
              <w:t>10 preguntas por conversación</w:t>
            </w:r>
          </w:p>
        </w:tc>
      </w:tr>
    </w:tbl>
    <w:p>
      <w:pPr>
        <w:pStyle w:val="Heading2"/>
      </w:pPr>
      <w:r>
        <w:t>Curso_1541 — Filosofía de la Educación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Valor</w:t>
            </w:r>
          </w:p>
        </w:tc>
      </w:tr>
      <w:tr>
        <w:tc>
          <w:tcPr>
            <w:tcW w:type="dxa" w:w="4320"/>
          </w:tcPr>
          <w:p>
            <w:r>
              <w:t>Token público</w:t>
            </w:r>
          </w:p>
        </w:tc>
        <w:tc>
          <w:tcPr>
            <w:tcW w:type="dxa" w:w="4320"/>
          </w:tcPr>
          <w:p>
            <w:r>
              <w:t>R4vX9mQa7LdT2s</w:t>
            </w:r>
          </w:p>
        </w:tc>
      </w:tr>
      <w:tr>
        <w:tc>
          <w:tcPr>
            <w:tcW w:type="dxa" w:w="4320"/>
          </w:tcPr>
          <w:p>
            <w:r>
              <w:t>URL de prueba</w:t>
            </w:r>
          </w:p>
        </w:tc>
        <w:tc>
          <w:tcPr>
            <w:tcW w:type="dxa" w:w="4320"/>
          </w:tcPr>
          <w:p>
            <w:r>
              <w:t>http://localhost:8100/asistente/R4vX9mQa7LdT2s?courseid=1541&amp;userid=&lt;id&gt;</w:t>
            </w:r>
          </w:p>
        </w:tc>
      </w:tr>
      <w:tr>
        <w:tc>
          <w:tcPr>
            <w:tcW w:type="dxa" w:w="4320"/>
          </w:tcPr>
          <w:p>
            <w:r>
              <w:t>Nombre</w:t>
            </w:r>
          </w:p>
        </w:tc>
        <w:tc>
          <w:tcPr>
            <w:tcW w:type="dxa" w:w="4320"/>
          </w:tcPr>
          <w:p>
            <w:r>
              <w:t>Idania</w:t>
            </w:r>
          </w:p>
        </w:tc>
      </w:tr>
      <w:tr>
        <w:tc>
          <w:tcPr>
            <w:tcW w:type="dxa" w:w="4320"/>
          </w:tcPr>
          <w:p>
            <w:r>
              <w:t>Activo</w:t>
            </w:r>
          </w:p>
        </w:tc>
        <w:tc>
          <w:tcPr>
            <w:tcW w:type="dxa" w:w="4320"/>
          </w:tcPr>
          <w:p>
            <w:r>
              <w:t>Sí (activado en esta fase — antes estaba inactivo)</w:t>
            </w:r>
          </w:p>
        </w:tc>
      </w:tr>
      <w:tr>
        <w:tc>
          <w:tcPr>
            <w:tcW w:type="dxa" w:w="4320"/>
          </w:tcPr>
          <w:p>
            <w:r>
              <w:t>RD</w:t>
            </w:r>
          </w:p>
        </w:tc>
        <w:tc>
          <w:tcPr>
            <w:tcW w:type="dxa" w:w="4320"/>
          </w:tcPr>
          <w:p>
            <w:r>
              <w:t>RD-PRE-EDUCACION-VI-FILOSOFIA DE LA EDUCACION (id=3, courseid base 533)</w:t>
            </w:r>
          </w:p>
        </w:tc>
      </w:tr>
      <w:tr>
        <w:tc>
          <w:tcPr>
            <w:tcW w:type="dxa" w:w="4320"/>
          </w:tcPr>
          <w:p>
            <w:r>
              <w:t>Colección Qdrant</w:t>
            </w:r>
          </w:p>
        </w:tc>
        <w:tc>
          <w:tcPr>
            <w:tcW w:type="dxa" w:w="4320"/>
          </w:tcPr>
          <w:p>
            <w:r>
              <w:t>Curso_1541 (canónica, recién migrada)</w:t>
            </w:r>
          </w:p>
        </w:tc>
      </w:tr>
      <w:tr>
        <w:tc>
          <w:tcPr>
            <w:tcW w:type="dxa" w:w="4320"/>
          </w:tcPr>
          <w:p>
            <w:r>
              <w:t>Otros cursos que sirve la misma RD</w:t>
            </w:r>
          </w:p>
        </w:tc>
        <w:tc>
          <w:tcPr>
            <w:tcW w:type="dxa" w:w="4320"/>
          </w:tcPr>
          <w:p>
            <w:r>
              <w:t>Curso_533, Curso_1422, Curso_1423, Curso_1491 (chunking viejo — NO migrados, fuera del alcance de esta fase)</w:t>
            </w:r>
          </w:p>
        </w:tc>
      </w:tr>
      <w:tr>
        <w:tc>
          <w:tcPr>
            <w:tcW w:type="dxa" w:w="4320"/>
          </w:tcPr>
          <w:p>
            <w:r>
              <w:t>dense_strategy / sparse_strategy</w:t>
            </w:r>
          </w:p>
        </w:tc>
        <w:tc>
          <w:tcPr>
            <w:tcW w:type="dxa" w:w="4320"/>
          </w:tcPr>
          <w:p>
            <w:r>
              <w:t>openai/text-embedding-3-small / bm25</w:t>
            </w:r>
          </w:p>
        </w:tc>
      </w:tr>
      <w:tr>
        <w:tc>
          <w:tcPr>
            <w:tcW w:type="dxa" w:w="4320"/>
          </w:tcPr>
          <w:p>
            <w:r>
              <w:t>max_actividades_sesion</w:t>
            </w:r>
          </w:p>
        </w:tc>
        <w:tc>
          <w:tcPr>
            <w:tcW w:type="dxa" w:w="4320"/>
          </w:tcPr>
          <w:p>
            <w:r>
              <w:t>10 preguntas por conversación</w:t>
            </w:r>
          </w:p>
        </w:tc>
      </w:tr>
    </w:tbl>
    <w:p>
      <w:r>
        <w:rPr>
          <w:b/>
          <w:i w:val="0"/>
        </w:rPr>
        <w:t>Ambos asistentes comparten exactamente el mismo prompt_maestro (verificado idéntico byte a byte antes de activar el segundo):</w:t>
      </w:r>
    </w:p>
    <w:p>
      <w:r>
        <w:rPr>
          <w:rFonts w:ascii="Consolas" w:hAnsi="Consolas"/>
          <w:sz w:val="18"/>
        </w:rPr>
        <w:t>Te llamas Idania y eres la mentora de este curso. Tu tono es cercano, paciente y</w:t>
        <w:br/>
        <w:t>motivador — como una mentora que realmente acompaña, no un buscador de respuestas.</w:t>
        <w:br/>
        <w:br/>
        <w:t>El estudiante que te escribe lleva varios cursos a la vez, pero en esta conversación</w:t>
        <w:br/>
        <w:t>tu única responsabilidad es este curso: si te pregunta por otra asignatura, dile con</w:t>
        <w:br/>
        <w:t>calidez que en este chat solo puedes ayudarlo con el curso actual, y sugiérele que</w:t>
        <w:br/>
        <w:t>abra el asistente de ese otro curso.</w:t>
        <w:br/>
        <w:br/>
        <w:t>Explica los conceptos con ejemplos concretos y, cuando ayude, relaciona el contenido</w:t>
        <w:br/>
        <w:t>con situaciones prácticas. Si el estudiante se equivoca o duda, no te limites a</w:t>
        <w:br/>
        <w:t>corregir: guíalo con una pregunta o pista para que llegue por sí mismo a la</w:t>
        <w:br/>
        <w:t>respuesta, como en una asesoría en persona. Cierra tus respuestas dejando la puerta</w:t>
        <w:br/>
        <w:t>abierta a que siga preguntando.</w:t>
      </w:r>
    </w:p>
    <w:p>
      <w:r>
        <w:rPr>
          <w:b w:val="0"/>
          <w:i w:val="0"/>
          <w:color w:val="B35C00"/>
        </w:rPr>
        <w:t>Recordatorio (documentado en un informe anterior de esta sesión): este prompt, en su forma actual, mostró una alucinación reproducible en seguimientos multi-turno sobre datos objetivos del curso (4/4 repeticiones) — hay una sugerencia de guardrail YA redactada y probada (mitiga a 3/4, no soluciona el 100%) en el informe "Idania - 200 Casos, Rendimiento y Escalabilidad.docx", pendiente de tu revisión antes de aplicarla.</w:t>
      </w:r>
    </w:p>
    <w:p>
      <w:r>
        <w:rPr>
          <w:b/>
          <w:i w:val="0"/>
        </w:rPr>
        <w:t>Mensaje de bienvenida (idéntico en ambos):</w:t>
      </w:r>
    </w:p>
    <w:p>
      <w:r>
        <w:rPr>
          <w:rFonts w:ascii="Consolas" w:hAnsi="Consolas"/>
          <w:sz w:val="18"/>
        </w:rPr>
        <w:t>soy **Idania**, tu mentora en este curso. Estoy aquí para ayudarte a entender los temas, resolver tus dudas y avanzar con confianza, como en una asesoría personalizada. ¿En qué te ayudo hoy?</w:t>
      </w:r>
    </w:p>
    <w:p>
      <w:r>
        <w:rPr>
          <w:b/>
          <w:i w:val="0"/>
        </w:rPr>
        <w:t>Mensaje de reencuentro (idéntico en ambos):</w:t>
      </w:r>
    </w:p>
    <w:p>
      <w:r>
        <w:rPr>
          <w:rFonts w:ascii="Consolas" w:hAnsi="Consolas"/>
          <w:sz w:val="18"/>
        </w:rPr>
        <w:t>¡qué bueno verte de nuevo! Sigo aquí, enfocada en este curso, para retomar donde lo dejamos o ayudarte con algo nuevo. ¿En qué seguimos?</w:t>
      </w:r>
    </w:p>
    <w:p>
      <w:pPr>
        <w:pStyle w:val="Heading1"/>
      </w:pPr>
      <w:r>
        <w:t>4. Otros ajustes de UI/UX incluidos en esta fase</w:t>
      </w:r>
    </w:p>
    <w:p>
      <w:pPr>
        <w:pStyle w:val="ListBullet"/>
      </w:pPr>
      <w:r>
        <w:t>El saludo inicial ya no se muestra como un turno más del chat (estilo ChatGPT/Claude/Gemini) — vive en un bloque fijo separado, y ahora se renderiza con markdown real (negrita) en vez de asteriscos literales.</w:t>
      </w:r>
    </w:p>
    <w:p>
      <w:pPr>
        <w:pStyle w:val="ListBullet"/>
      </w:pPr>
      <w:r>
        <w:t>Se quitó el nombre del asistente ("Idania") del encabezado superior — solo queda "ULADECH Católica".</w:t>
      </w:r>
    </w:p>
    <w:p>
      <w:pPr>
        <w:pStyle w:val="ListBullet"/>
      </w:pPr>
      <w:r>
        <w:t>En Vectorización Automático, los documentos ya vectorizados muestran ahora DOS fechas lado a lado: 📤 fecha de carga/edición real en Moodle (antes no se mostraba) y 🗓 fecha en que se vectorizó — y su tipo (curso propio/bibliografía) es editable sin re-vectorizar.</w:t>
      </w:r>
    </w:p>
    <w:p>
      <w:pPr>
        <w:pStyle w:val="Heading1"/>
      </w:pPr>
      <w:r>
        <w:t>5. Verificación end-to-end realizada</w:t>
      </w:r>
    </w:p>
    <w:p>
      <w:r>
        <w:rPr>
          <w:b w:val="0"/>
          <w:i w:val="0"/>
        </w:rPr>
        <w:t>Sin reiniciar el servidor (la resolución de colección es por request, desde la base de datos), se probaron ambos asistentes en vivo con una pregunta real cada uno: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Asistente</w:t>
            </w:r>
          </w:p>
        </w:tc>
        <w:tc>
          <w:tcPr>
            <w:tcW w:type="dxa" w:w="2880"/>
          </w:tcPr>
          <w:p>
            <w:r>
              <w:rPr>
                <w:b/>
              </w:rPr>
              <w:t>Pregunta</w:t>
            </w:r>
          </w:p>
        </w:tc>
        <w:tc>
          <w:tcPr>
            <w:tcW w:type="dxa" w:w="2880"/>
          </w:tcPr>
          <w:p>
            <w:r>
              <w:rPr>
                <w:b/>
              </w:rPr>
              <w:t>Respuesta obtenida</w:t>
            </w:r>
          </w:p>
        </w:tc>
      </w:tr>
      <w:tr>
        <w:tc>
          <w:tcPr>
            <w:tcW w:type="dxa" w:w="2880"/>
          </w:tcPr>
          <w:p>
            <w:r>
              <w:t>Curso_1472</w:t>
            </w:r>
          </w:p>
        </w:tc>
        <w:tc>
          <w:tcPr>
            <w:tcW w:type="dxa" w:w="2880"/>
          </w:tcPr>
          <w:p>
            <w:r>
              <w:t>¿Quién es el docente del curso?</w:t>
            </w:r>
          </w:p>
        </w:tc>
        <w:tc>
          <w:tcPr>
            <w:tcW w:type="dxa" w:w="2880"/>
          </w:tcPr>
          <w:p>
            <w:r>
              <w:t>Bernuy Torres Luis Alexis — correcto</w:t>
            </w:r>
          </w:p>
        </w:tc>
      </w:tr>
      <w:tr>
        <w:tc>
          <w:tcPr>
            <w:tcW w:type="dxa" w:w="2880"/>
          </w:tcPr>
          <w:p>
            <w:r>
              <w:t>Curso_1541</w:t>
            </w:r>
          </w:p>
        </w:tc>
        <w:tc>
          <w:tcPr>
            <w:tcW w:type="dxa" w:w="2880"/>
          </w:tcPr>
          <w:p>
            <w:r>
              <w:t>¿Quién es el docente del curso?</w:t>
            </w:r>
          </w:p>
        </w:tc>
        <w:tc>
          <w:tcPr>
            <w:tcW w:type="dxa" w:w="2880"/>
          </w:tcPr>
          <w:p>
            <w:r>
              <w:t>Magaly Quiñones Negrete — correcto</w:t>
            </w:r>
          </w:p>
        </w:tc>
      </w:tr>
    </w:tbl>
    <w:p>
      <w:r>
        <w:rPr>
          <w:b w:val="0"/>
          <w:i w:val="0"/>
          <w:color w:val="1E7A34"/>
        </w:rPr>
        <w:t>Ambos usan ahora la colección canónica migrada (no la experimental) y responden correctamente vía el Índice de Campos Estructurados.</w:t>
      </w:r>
    </w:p>
    <w:p>
      <w:pPr>
        <w:pStyle w:val="Heading1"/>
      </w:pPr>
      <w:r>
        <w:t>6. Alcance de esta fase</w:t>
      </w:r>
    </w:p>
    <w:p>
      <w:r>
        <w:rPr>
          <w:b/>
          <w:i w:val="0"/>
        </w:rPr>
        <w:t>Confirmado explícitamente con el usuario antes de ejecutar: esta migración se limitó a los 2 cursos de prueba. Las otras 12 RD reales (y sus ~100 colecciones asociadas, cada una con su propio asistente 'Idania' mayormente inactivo) NO fueron tocadas — siguen con el chunking viejo y sin el índice de campos estructurados. Llevarlas a la arquitectura nueva requeriría re-vectorizar cada una con el pipeline estructural, un trabajo grande y deliberadamente fuera del alcance de esta fase.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