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Corrección de 3 patrones reales de alucinación</w:t>
      </w:r>
    </w:p>
    <w:p>
      <w:pPr>
        <w:jc w:val="center"/>
      </w:pPr>
      <w:r>
        <w:rPr>
          <w:color w:val="555555"/>
          <w:sz w:val="26"/>
        </w:rPr>
        <w:t>Cambios genéricos aplicados al Índice de Campos Estructurados y al prompt del tutor — Curso_1472 y Curso_1541</w:t>
      </w:r>
    </w:p>
    <w:p>
      <w:pPr>
        <w:jc w:val="center"/>
      </w:pPr>
      <w:r>
        <w:rPr>
          <w:color w:val="555555"/>
          <w:sz w:val="20"/>
        </w:rPr>
        <w:t>Asistente Idania — ULADECH Católica  |  Septiembre 2026</w:t>
      </w:r>
    </w:p>
    <w:p/>
    <w:p>
      <w:pPr>
        <w:pStyle w:val="Heading1"/>
      </w:pPr>
      <w:r>
        <w:rPr>
          <w:color w:val="1F3A5F"/>
        </w:rPr>
        <w:t>1. Contexto y mandato</w:t>
      </w:r>
    </w:p>
    <w:p>
      <w:r>
        <w:rPr>
          <w:b w:val="0"/>
          <w:i w:val="0"/>
        </w:rPr>
        <w:t>La evaluación de 200 preguntas (ver "Idania - 200 Pruebas de Alucinaciones (Espejo de Producción).docx") corrida sobre un espejo local de producción de Curso_1472 y Curso_1541 encontró 3 patrones reales de alucinación, reproducibles con datos reales. Antes de aplicar cualquier corrección, el mandato explícito fue: la solución debe ser GENÉRICA — ningún fix puede estar atado a un nombre de campo, un curso o una frase específica. Un fix curado a mano (p.ej. "si la pregunta contiene la palabra 'correo' y 'profesor', responde X") queda prohibido por diseño: resolvería el caso exacto reportado pero dejaría el mismo hueco abierto para cualquier variante no probada ("teléfono del profesor", "contacto de la maestra", etc.).</w:t>
      </w:r>
    </w:p>
    <w:p>
      <w:r>
        <w:rPr>
          <w:b w:val="0"/>
          <w:i w:val="0"/>
        </w:rPr>
        <w:t>Este documento describe, para cada uno de los 3 hallazgos, la causa raíz real (no la primera hipótesis), el fix aplicado, por qué es genérico, y cómo se verificó.</w:t>
      </w:r>
    </w:p>
    <w:p>
      <w:pPr>
        <w:pStyle w:val="Heading1"/>
      </w:pPr>
      <w:r>
        <w:rPr>
          <w:color w:val="1F3A5F"/>
        </w:rPr>
        <w:t>2. Resumen de los 3 fixes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1F3A5F"/>
          </w:tcPr>
          <w:p>
            <w:pPr>
              <w:jc w:val="center"/>
            </w:pPr>
            <w:r/>
            <w:r>
              <w:rPr>
                <w:b/>
                <w:color w:val="FFFFFF"/>
              </w:rPr>
              <w:t>#</w:t>
            </w:r>
          </w:p>
        </w:tc>
        <w:tc>
          <w:tcPr>
            <w:tcW w:type="dxa" w:w="2448"/>
            <w:shd w:fill="1F3A5F"/>
          </w:tcPr>
          <w:p>
            <w:pPr>
              <w:jc w:val="center"/>
            </w:pPr>
            <w:r/>
            <w:r>
              <w:rPr>
                <w:b/>
                <w:color w:val="FFFFFF"/>
              </w:rPr>
              <w:t>Síntoma reportado</w:t>
            </w:r>
          </w:p>
        </w:tc>
        <w:tc>
          <w:tcPr>
            <w:tcW w:type="dxa" w:w="3312"/>
            <w:shd w:fill="1F3A5F"/>
          </w:tcPr>
          <w:p>
            <w:pPr>
              <w:jc w:val="center"/>
            </w:pPr>
            <w:r/>
            <w:r>
              <w:rPr>
                <w:b/>
                <w:color w:val="FFFFFF"/>
              </w:rPr>
              <w:t>Causa raíz real</w:t>
            </w:r>
          </w:p>
        </w:tc>
        <w:tc>
          <w:tcPr>
            <w:tcW w:type="dxa" w:w="2016"/>
            <w:shd w:fill="1F3A5F"/>
          </w:tcPr>
          <w:p>
            <w:pPr>
              <w:jc w:val="center"/>
            </w:pPr>
            <w:r/>
            <w:r>
              <w:rPr>
                <w:b/>
                <w:color w:val="FFFFFF"/>
              </w:rPr>
              <w:t>Archivo / función</w:t>
            </w:r>
          </w:p>
        </w:tc>
        <w:tc>
          <w:tcPr>
            <w:tcW w:type="dxa" w:w="2160"/>
            <w:shd w:fill="1F3A5F"/>
          </w:tcPr>
          <w:p>
            <w:pPr>
              <w:jc w:val="center"/>
            </w:pPr>
            <w:r/>
            <w:r>
              <w:rPr>
                <w:b/>
                <w:color w:val="FFFFFF"/>
              </w:rPr>
              <w:t>Alcance</w:t>
            </w:r>
          </w:p>
        </w:tc>
      </w:tr>
      <w:tr>
        <w:tc>
          <w:tcPr>
            <w:tcW w:type="dxa" w:w="432"/>
          </w:tcPr>
          <w:p>
            <w:r>
              <w:t>1</w:t>
            </w:r>
          </w:p>
        </w:tc>
        <w:tc>
          <w:tcPr>
            <w:tcW w:type="dxa" w:w="2448"/>
          </w:tcPr>
          <w:p>
            <w:r>
              <w:t>"correo del profesor" inventa un docente distinto al real</w:t>
            </w:r>
          </w:p>
        </w:tc>
        <w:tc>
          <w:tcPr>
            <w:tcW w:type="dxa" w:w="3312"/>
          </w:tcPr>
          <w:p>
            <w:r>
              <w:t>El fallback semántico embebe TODO el bloque de palabras de la pregunta junto; una palabra de atributo extra (correo/teléfono) diluye el embedding y el match cae bajo el umbral de confianza</w:t>
            </w:r>
          </w:p>
        </w:tc>
        <w:tc>
          <w:tcPr>
            <w:tcW w:type="dxa" w:w="2016"/>
          </w:tcPr>
          <w:p>
            <w:r>
              <w:t>campos_estructurados.py</w:t>
              <w:br/>
              <w:t>_semantic_detect_field()</w:t>
            </w:r>
          </w:p>
        </w:tc>
        <w:tc>
          <w:tcPr>
            <w:tcW w:type="dxa" w:w="2160"/>
          </w:tcPr>
          <w:p>
            <w:r>
              <w:t>Todo sinónimo (profesor/maestro/docente/…) + cualquier atributo extra, en cualquier campo, cualquier curso</w:t>
            </w:r>
          </w:p>
        </w:tc>
      </w:tr>
      <w:tr>
        <w:tc>
          <w:tcPr>
            <w:tcW w:type="dxa" w:w="432"/>
          </w:tcPr>
          <w:p>
            <w:r>
              <w:t>2</w:t>
            </w:r>
          </w:p>
        </w:tc>
        <w:tc>
          <w:tcPr>
            <w:tcW w:type="dxa" w:w="2448"/>
          </w:tcPr>
          <w:p>
            <w:r>
              <w:t>"¿el curso es presencial o virtual?" responde el valor equivocado</w:t>
            </w:r>
          </w:p>
        </w:tc>
        <w:tc>
          <w:tcPr>
            <w:tcW w:type="dxa" w:w="3312"/>
          </w:tcPr>
          <w:p>
            <w:r>
              <w:t>La ruta de detección de fila-por-valor nunca leía is_repeated_template — no aplicaba la jerarquía de autoridad que ya existe en resolve_field(), así que una fila de plantilla repetida (sesión semanal) podía ganarle a la fila única de mayor autoridad (sílabo)</w:t>
            </w:r>
          </w:p>
        </w:tc>
        <w:tc>
          <w:tcPr>
            <w:tcW w:type="dxa" w:w="2016"/>
          </w:tcPr>
          <w:p>
            <w:r>
              <w:t>campos_estructurados.py</w:t>
              <w:br/>
              <w:t>_detect_row_by_value()</w:t>
            </w:r>
          </w:p>
        </w:tc>
        <w:tc>
          <w:tcPr>
            <w:tcW w:type="dxa" w:w="2160"/>
          </w:tcPr>
          <w:p>
            <w:r>
              <w:t>Cualquier valor que aparezca tanto en el sílabo real como en plantillas repetidas, en cualquier curso</w:t>
            </w:r>
          </w:p>
        </w:tc>
      </w:tr>
      <w:tr>
        <w:tc>
          <w:tcPr>
            <w:tcW w:type="dxa" w:w="432"/>
          </w:tcPr>
          <w:p>
            <w:r>
              <w:t>3</w:t>
            </w:r>
          </w:p>
        </w:tc>
        <w:tc>
          <w:tcPr>
            <w:tcW w:type="dxa" w:w="2448"/>
          </w:tcPr>
          <w:p>
            <w:r>
              <w:t>El tutor confunde una MUESTRA de semanas de una fórmula de calificación con el TOTAL real de semanas de una unidad</w:t>
            </w:r>
          </w:p>
        </w:tc>
        <w:tc>
          <w:tcPr>
            <w:tcW w:type="dxa" w:w="3312"/>
          </w:tcPr>
          <w:p>
            <w:r>
              <w:t>El prompt no distinguía explícitamente entre un subconjunto ilustrativo (ej. una fórmula de ponderación que usa 3 semanas de muestra) y el total/completo real de un conjunto</w:t>
            </w:r>
          </w:p>
        </w:tc>
        <w:tc>
          <w:tcPr>
            <w:tcW w:type="dxa" w:w="2016"/>
          </w:tcPr>
          <w:p>
            <w:r>
              <w:t>strategies/generation.py</w:t>
              <w:br/>
              <w:t>SYSTEM_PROMPT_TEMPLATE</w:t>
            </w:r>
          </w:p>
        </w:tc>
        <w:tc>
          <w:tcPr>
            <w:tcW w:type="dxa" w:w="2160"/>
          </w:tcPr>
          <w:p>
            <w:r>
              <w:t>Cualquier pregunta de conteo/total (semanas, sesiones, evaluaciones, lecturas), en cualquier curso</w:t>
            </w:r>
          </w:p>
        </w:tc>
      </w:tr>
    </w:tbl>
    <w:p>
      <w:pPr>
        <w:pStyle w:val="Heading1"/>
      </w:pPr>
      <w:r>
        <w:rPr>
          <w:color w:val="1F3A5F"/>
        </w:rPr>
        <w:t>3. Fix #1 — Respaldo semántico: reintento palabra por palabra</w:t>
      </w:r>
    </w:p>
    <w:p>
      <w:pPr>
        <w:pStyle w:val="Heading2"/>
      </w:pPr>
      <w:r>
        <w:rPr>
          <w:color w:val="1F3A5F"/>
        </w:rPr>
        <w:t>3.1 Causa raíz confirmada</w:t>
      </w:r>
    </w:p>
    <w:p>
      <w:r>
        <w:rPr>
          <w:b w:val="0"/>
          <w:i w:val="0"/>
        </w:rPr>
        <w:t>Se reprodujo en vivo contra el índice real de Curso_1472: "correo del profesor del curso" no disparaba ningún campo (None), mientras que "correo del docente del curso" y "quien es el profesor del curso" sí resolvían correctamente contra el campo docente. El fallback semántico junta las palabras de contenido restantes de la pregunta ("correo", "profesor") en un solo texto y las embebe como bloque; ese embedding conjunto ya no es lo bastante cercano al embedding del campo "docente" como para superar el margen de confianza calibrado (score ≥ 0.55 y margen ≥ 0.15 sobre el segundo mejor candidato). Sin un campo confidente, el pipeline cae a RAG normal, que en el caso real de producción (sesión 107, 2026-09-15) recuperó un fragmento irrelevante (un video de webinar) y el modelo alucinó un nombre y correo que no existen.</w:t>
      </w:r>
    </w:p>
    <w:p>
      <w:pPr>
        <w:pStyle w:val="Heading2"/>
      </w:pPr>
      <w:r>
        <w:rPr>
          <w:color w:val="1F3A5F"/>
        </w:rPr>
        <w:t>3.2 El fix</w:t>
      </w:r>
    </w:p>
    <w:p>
      <w:r>
        <w:rPr>
          <w:b w:val="0"/>
          <w:i w:val="0"/>
        </w:rPr>
        <w:t>En _semantic_detect_field(): si el embedding del bloque completo de palabras no logra un match confidente, se prueba ADEMÁS cada palabra de la pregunta por separado contra los MISMOS embeddings de campo ya cacheados (sin volver a embeber los campos), con el mismo criterio de umbral+margen ya calibrado. Si alguna palabra individual sí supera el umbral, se usa esa.</w:t>
      </w:r>
    </w:p>
    <w:p>
      <w:pPr>
        <w:ind w:left="432"/>
        <w:shd w:fill="F2F2F2"/>
      </w:pPr>
      <w:r>
        <w:rPr>
          <w:rFonts w:ascii="Consolas" w:hAnsi="Consolas"/>
          <w:color w:val="333333"/>
          <w:sz w:val="19"/>
        </w:rPr>
        <w:t>best_field, best_score, second_score = _best_match(query_embedding)  # bloque completo</w:t>
        <w:br/>
        <w:t>if best_score &gt;= min_score and best_score - second_score &gt;= 0.15:</w:t>
        <w:br/>
        <w:t xml:space="preserve">    return best_field</w:t>
        <w:br/>
        <w:br/>
        <w:t># Respaldo: probar cada palabra de la pregunta por separado</w:t>
        <w:br/>
        <w:t>word_embeddings = await dense.embed(sorted(query_words), is_query=True)</w:t>
        <w:br/>
        <w:t>for word_embedding in word_embeddings:</w:t>
        <w:br/>
        <w:t xml:space="preserve">    field, score, second = _best_match(word_embedding)</w:t>
        <w:br/>
        <w:t xml:space="preserve">    if score &gt;= min_score and score - second &gt;= 0.15 and score &gt; best_overall_score:</w:t>
        <w:br/>
        <w:t xml:space="preserve">        best_overall_field, best_overall_score = field, score</w:t>
        <w:br/>
        <w:t>return best_overall_field</w:t>
      </w:r>
    </w:p>
    <w:p>
      <w:pPr>
        <w:pStyle w:val="Heading2"/>
      </w:pPr>
      <w:r>
        <w:rPr>
          <w:color w:val="1F3A5F"/>
        </w:rPr>
        <w:t>3.3 Por qué es genérico</w:t>
      </w:r>
    </w:p>
    <w:p>
      <w:pPr>
        <w:pStyle w:val="ListBullet"/>
      </w:pPr>
      <w:r>
        <w:t>No depende del nombre del campo ("docente") ni de la palabra extra ("correo") — es el mismo mecanismo de umbral+margen ya validado, aplicado a cada palabra en vez de al bloque completo.</w:t>
      </w:r>
    </w:p>
    <w:p>
      <w:pPr>
        <w:pStyle w:val="ListBullet"/>
      </w:pPr>
      <w:r>
        <w:t>No usa ningún diccionario de sinónimos ni lista de "palabras de atributo" curada a mano — sigue apoyándose 100% en el espacio semántico del modelo de embeddings ya configurado para la colección/RD.</w:t>
      </w:r>
    </w:p>
    <w:p>
      <w:pPr>
        <w:pStyle w:val="ListBullet"/>
      </w:pPr>
      <w:r>
        <w:t>Aplica igual para cualquier combinación sinónimo+atributo (teléfono, contacto, dirección, etc.) y para cualquier campo del índice, en cualquier curso.</w:t>
      </w:r>
    </w:p>
    <w:p>
      <w:pPr>
        <w:pStyle w:val="Heading2"/>
      </w:pPr>
      <w:r>
        <w:rPr>
          <w:color w:val="1F3A5F"/>
        </w:rPr>
        <w:t>3.4 Verificación</w:t>
      </w:r>
    </w:p>
    <w:p>
      <w:r>
        <w:rPr>
          <w:b w:val="0"/>
          <w:i w:val="0"/>
        </w:rPr>
        <w:t>Reproducción exacta del caso de producción, contra el espejo local de ambos cursos: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shd w:fill="1F3A5F"/>
          </w:tcPr>
          <w:p>
            <w:pPr>
              <w:jc w:val="center"/>
            </w:pPr>
            <w:r/>
            <w:r>
              <w:rPr>
                <w:b/>
                <w:color w:val="FFFFFF"/>
              </w:rPr>
              <w:t>Colección</w:t>
            </w:r>
          </w:p>
        </w:tc>
        <w:tc>
          <w:tcPr>
            <w:tcW w:type="dxa" w:w="3744"/>
            <w:shd w:fill="1F3A5F"/>
          </w:tcPr>
          <w:p>
            <w:pPr>
              <w:jc w:val="center"/>
            </w:pPr>
            <w:r/>
            <w:r>
              <w:rPr>
                <w:b/>
                <w:color w:val="FFFFFF"/>
              </w:rPr>
              <w:t>Pregunta</w:t>
            </w:r>
          </w:p>
        </w:tc>
        <w:tc>
          <w:tcPr>
            <w:tcW w:type="dxa" w:w="2448"/>
            <w:shd w:fill="1F3A5F"/>
          </w:tcPr>
          <w:p>
            <w:pPr>
              <w:jc w:val="center"/>
            </w:pPr>
            <w:r/>
            <w:r>
              <w:rPr>
                <w:b/>
                <w:color w:val="FFFFFF"/>
              </w:rPr>
              <w:t>Resultado antes</w:t>
            </w:r>
          </w:p>
        </w:tc>
        <w:tc>
          <w:tcPr>
            <w:tcW w:type="dxa" w:w="3168"/>
            <w:shd w:fill="1F3A5F"/>
          </w:tcPr>
          <w:p>
            <w:pPr>
              <w:jc w:val="center"/>
            </w:pPr>
            <w:r/>
            <w:r>
              <w:rPr>
                <w:b/>
                <w:color w:val="FFFFFF"/>
              </w:rPr>
              <w:t>Resultado después</w:t>
            </w:r>
          </w:p>
        </w:tc>
      </w:tr>
      <w:tr>
        <w:tc>
          <w:tcPr>
            <w:tcW w:type="dxa" w:w="1440"/>
          </w:tcPr>
          <w:p>
            <w:r>
              <w:t>Curso_1472</w:t>
            </w:r>
          </w:p>
        </w:tc>
        <w:tc>
          <w:tcPr>
            <w:tcW w:type="dxa" w:w="3744"/>
          </w:tcPr>
          <w:p>
            <w:r>
              <w:t>dame el correo del profesor del curso</w:t>
            </w:r>
          </w:p>
        </w:tc>
        <w:tc>
          <w:tcPr>
            <w:tcW w:type="dxa" w:w="2448"/>
          </w:tcPr>
          <w:p>
            <w:r>
              <w:t>None → cae a RAG → alucina</w:t>
            </w:r>
          </w:p>
        </w:tc>
        <w:tc>
          <w:tcPr>
            <w:tcW w:type="dxa" w:w="3168"/>
          </w:tcPr>
          <w:p>
            <w:r>
              <w:t>confidente → docente: Bernuy Torres Luis Alexis</w:t>
            </w:r>
          </w:p>
        </w:tc>
      </w:tr>
      <w:tr>
        <w:tc>
          <w:tcPr>
            <w:tcW w:type="dxa" w:w="1440"/>
          </w:tcPr>
          <w:p>
            <w:r>
              <w:t>Curso_1472</w:t>
            </w:r>
          </w:p>
        </w:tc>
        <w:tc>
          <w:tcPr>
            <w:tcW w:type="dxa" w:w="3744"/>
          </w:tcPr>
          <w:p>
            <w:r>
              <w:t>cual es el telefono del profesor</w:t>
            </w:r>
          </w:p>
        </w:tc>
        <w:tc>
          <w:tcPr>
            <w:tcW w:type="dxa" w:w="2448"/>
          </w:tcPr>
          <w:p>
            <w:r>
              <w:t>None</w:t>
            </w:r>
          </w:p>
        </w:tc>
        <w:tc>
          <w:tcPr>
            <w:tcW w:type="dxa" w:w="3168"/>
          </w:tcPr>
          <w:p>
            <w:r>
              <w:t>confidente → docente</w:t>
            </w:r>
          </w:p>
        </w:tc>
      </w:tr>
      <w:tr>
        <w:tc>
          <w:tcPr>
            <w:tcW w:type="dxa" w:w="1440"/>
          </w:tcPr>
          <w:p>
            <w:r>
              <w:t>Curso_1541</w:t>
            </w:r>
          </w:p>
        </w:tc>
        <w:tc>
          <w:tcPr>
            <w:tcW w:type="dxa" w:w="3744"/>
          </w:tcPr>
          <w:p>
            <w:r>
              <w:t>dame el correo del profesor del curso</w:t>
            </w:r>
          </w:p>
        </w:tc>
        <w:tc>
          <w:tcPr>
            <w:tcW w:type="dxa" w:w="2448"/>
          </w:tcPr>
          <w:p>
            <w:r>
              <w:t>None</w:t>
            </w:r>
          </w:p>
        </w:tc>
        <w:tc>
          <w:tcPr>
            <w:tcW w:type="dxa" w:w="3168"/>
          </w:tcPr>
          <w:p>
            <w:r>
              <w:t>confidente → docente: Quiñones Negrete, Magaly</w:t>
            </w:r>
          </w:p>
        </w:tc>
      </w:tr>
      <w:tr>
        <w:tc>
          <w:tcPr>
            <w:tcW w:type="dxa" w:w="1440"/>
          </w:tcPr>
          <w:p>
            <w:r>
              <w:t>Curso_1541</w:t>
            </w:r>
          </w:p>
        </w:tc>
        <w:tc>
          <w:tcPr>
            <w:tcW w:type="dxa" w:w="3744"/>
          </w:tcPr>
          <w:p>
            <w:r>
              <w:t>telefono de contacto del maestro</w:t>
            </w:r>
          </w:p>
        </w:tc>
        <w:tc>
          <w:tcPr>
            <w:tcW w:type="dxa" w:w="2448"/>
          </w:tcPr>
          <w:p>
            <w:r>
              <w:t>None</w:t>
            </w:r>
          </w:p>
        </w:tc>
        <w:tc>
          <w:tcPr>
            <w:tcW w:type="dxa" w:w="3168"/>
          </w:tcPr>
          <w:p>
            <w:r>
              <w:t>confidente → docente</w:t>
            </w:r>
          </w:p>
        </w:tc>
      </w:tr>
    </w:tbl>
    <w:p>
      <w:r>
        <w:rPr>
          <w:b w:val="0"/>
          <w:i/>
          <w:color w:val="555555"/>
        </w:rPr>
        <w:t>Regresión: se re-probaron todos los sinónimos simples ya validados (profesor/profesora/maestro/maestra/docente, con y sin palabra extra) en ambos cursos — sin degradación.</w:t>
      </w:r>
    </w:p>
    <w:p>
      <w:pPr>
        <w:pStyle w:val="Heading1"/>
      </w:pPr>
      <w:r>
        <w:rPr>
          <w:color w:val="1F3A5F"/>
        </w:rPr>
        <w:t>4. Fix #2 — Jerarquía de autoridad en detección de fila por valor</w:t>
      </w:r>
    </w:p>
    <w:p>
      <w:pPr>
        <w:pStyle w:val="Heading2"/>
      </w:pPr>
      <w:r>
        <w:rPr>
          <w:color w:val="1F3A5F"/>
        </w:rPr>
        <w:t>4.1 Causa raíz confirmada</w:t>
      </w:r>
    </w:p>
    <w:p>
      <w:r>
        <w:rPr>
          <w:b w:val="0"/>
          <w:i w:val="0"/>
        </w:rPr>
        <w:t>_detect_row_by_value() (el respaldo que identifica una FILA de tabla por su valor, no por nombre de campo — ej. "Componente: Examen sumativo") nunca leía ni usaba la columna is_repeated_template. Su SQL ni siquiera la seleccionaba, y su bucle de selección (if score &gt; best_score) no tenía ninguna preferencia de autoridad — ante un empate de score entre una fila del sílabo real y una fila de una plantilla semanal repetida (ej. "Presencial" aparece igual en decenas de sesiones semanales Y una vez en el sílabo), ganaba la que el orden no determinístico de SQL devolviera primero. resolve_field() SÍ tiene esta protección desde antes — el hueco era que la segunda ruta de resolución (fila-por-valor) nunca la heredó.</w:t>
      </w:r>
    </w:p>
    <w:p>
      <w:pPr>
        <w:pStyle w:val="Heading2"/>
      </w:pPr>
      <w:r>
        <w:rPr>
          <w:color w:val="1F3A5F"/>
        </w:rPr>
        <w:t>4.2 El fix</w:t>
      </w:r>
    </w:p>
    <w:p>
      <w:r>
        <w:rPr>
          <w:b w:val="0"/>
          <w:i w:val="0"/>
        </w:rPr>
        <w:t>Se replicó la misma jerarquía que ya usa resolve_field(): la SQL ahora selecciona is_repeated_template, y la selección del mejor candidato se hace en dos pasadas — primero solo entre filas NO-plantilla (is_repeated_template=False); solo si ninguna supera el umbral, se prueba entre las de plantilla.</w:t>
      </w:r>
    </w:p>
    <w:p>
      <w:pPr>
        <w:ind w:left="432"/>
        <w:shd w:fill="F2F2F2"/>
      </w:pPr>
      <w:r>
        <w:rPr>
          <w:rFonts w:ascii="Consolas" w:hAnsi="Consolas"/>
          <w:color w:val="333333"/>
          <w:sz w:val="19"/>
        </w:rPr>
        <w:t>unique_rows = [r for r in rows if not r["is_repeated_template"]]</w:t>
        <w:br/>
        <w:t>template_rows = [r for r in rows if r["is_repeated_template"]]</w:t>
        <w:br/>
        <w:br/>
        <w:t>best_row_id, best_score = _best(unique_rows)</w:t>
        <w:br/>
        <w:t>if best_score &gt;= min_score:</w:t>
        <w:br/>
        <w:t xml:space="preserve">    return best_row_id</w:t>
        <w:br/>
        <w:br/>
        <w:t>best_row_id, best_score = _best(template_rows)</w:t>
        <w:br/>
        <w:t>return best_row_id if best_score &gt;= min_score else None</w:t>
      </w:r>
    </w:p>
    <w:p>
      <w:pPr>
        <w:pStyle w:val="Heading2"/>
      </w:pPr>
      <w:r>
        <w:rPr>
          <w:color w:val="1F3A5F"/>
        </w:rPr>
        <w:t>4.3 Por qué es genérico</w:t>
      </w:r>
    </w:p>
    <w:p>
      <w:pPr>
        <w:pStyle w:val="ListBullet"/>
      </w:pPr>
      <w:r>
        <w:t>No depende de qué campo o valor es ("modalidad", "Presencial", etc.) — solo de si la fila viene de una tabla marcada como plantilla repetida, una propiedad ya calculada de forma genérica por table_signature()/retag_repeated_templates() para cualquier documento de cualquier curso.</w:t>
      </w:r>
    </w:p>
    <w:p>
      <w:pPr>
        <w:pStyle w:val="ListBullet"/>
      </w:pPr>
      <w:r>
        <w:t>Es exactamente la misma jerarquía de evidencia que resolve_field() ya aplicaba — se cierra una inconsistencia arquitectónica (dos rutas de resolución con protecciones distintas), no se inventa una regla nueva.</w:t>
      </w:r>
    </w:p>
    <w:p>
      <w:pPr>
        <w:pStyle w:val="Heading2"/>
      </w:pPr>
      <w:r>
        <w:rPr>
          <w:color w:val="1F3A5F"/>
        </w:rPr>
        <w:t>4.4 Verificación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shd w:fill="1F3A5F"/>
          </w:tcPr>
          <w:p>
            <w:pPr>
              <w:jc w:val="center"/>
            </w:pPr>
            <w:r/>
            <w:r>
              <w:rPr>
                <w:b/>
                <w:color w:val="FFFFFF"/>
              </w:rPr>
              <w:t>Colección</w:t>
            </w:r>
          </w:p>
        </w:tc>
        <w:tc>
          <w:tcPr>
            <w:tcW w:type="dxa" w:w="3456"/>
            <w:shd w:fill="1F3A5F"/>
          </w:tcPr>
          <w:p>
            <w:pPr>
              <w:jc w:val="center"/>
            </w:pPr>
            <w:r/>
            <w:r>
              <w:rPr>
                <w:b/>
                <w:color w:val="FFFFFF"/>
              </w:rPr>
              <w:t>Pregunta</w:t>
            </w:r>
          </w:p>
        </w:tc>
        <w:tc>
          <w:tcPr>
            <w:tcW w:type="dxa" w:w="3312"/>
            <w:shd w:fill="1F3A5F"/>
          </w:tcPr>
          <w:p>
            <w:pPr>
              <w:jc w:val="center"/>
            </w:pPr>
            <w:r/>
            <w:r>
              <w:rPr>
                <w:b/>
                <w:color w:val="FFFFFF"/>
              </w:rPr>
              <w:t>Resultado antes</w:t>
            </w:r>
          </w:p>
        </w:tc>
        <w:tc>
          <w:tcPr>
            <w:tcW w:type="dxa" w:w="3312"/>
            <w:shd w:fill="1F3A5F"/>
          </w:tcPr>
          <w:p>
            <w:pPr>
              <w:jc w:val="center"/>
            </w:pPr>
            <w:r/>
            <w:r>
              <w:rPr>
                <w:b/>
                <w:color w:val="FFFFFF"/>
              </w:rPr>
              <w:t>Resultado después</w:t>
            </w:r>
          </w:p>
        </w:tc>
      </w:tr>
      <w:tr>
        <w:tc>
          <w:tcPr>
            <w:tcW w:type="dxa" w:w="1440"/>
          </w:tcPr>
          <w:p>
            <w:r>
              <w:t>Curso_1541</w:t>
            </w:r>
          </w:p>
        </w:tc>
        <w:tc>
          <w:tcPr>
            <w:tcW w:type="dxa" w:w="3456"/>
          </w:tcPr>
          <w:p>
            <w:r>
              <w:t>el curso es presencial o virtual?</w:t>
            </w:r>
          </w:p>
        </w:tc>
        <w:tc>
          <w:tcPr>
            <w:tcW w:type="dxa" w:w="3312"/>
          </w:tcPr>
          <w:p>
            <w:r>
              <w:t>Fila de plantilla (SESION_15_FILOSOFIA..., is_repeated_template=True)</w:t>
            </w:r>
          </w:p>
        </w:tc>
        <w:tc>
          <w:tcPr>
            <w:tcW w:type="dxa" w:w="3312"/>
          </w:tcPr>
          <w:p>
            <w:r>
              <w:t>Fila del sílabo real (SILABO_FILOSOFIA_DE_LA_EDUCACION..., is_repeated_template=False)</w:t>
            </w:r>
          </w:p>
        </w:tc>
      </w:tr>
    </w:tbl>
    <w:p>
      <w:r>
        <w:rPr>
          <w:b w:val="0"/>
          <w:i/>
          <w:color w:val="555555"/>
        </w:rPr>
        <w:t>Regresión: "cual es la modalidad del curso?" (que ya resolvía correctamente vía resolve_field()) sigue devolviendo el mismo resultado correcto — sin cambios.</w:t>
      </w:r>
    </w:p>
    <w:p>
      <w:pPr>
        <w:pStyle w:val="Heading1"/>
      </w:pPr>
      <w:r>
        <w:rPr>
          <w:color w:val="1F3A5F"/>
        </w:rPr>
        <w:t>5. Fix #3 — Refuerzo del prompt: muestra vs. total</w:t>
      </w:r>
    </w:p>
    <w:p>
      <w:pPr>
        <w:pStyle w:val="Heading2"/>
      </w:pPr>
      <w:r>
        <w:rPr>
          <w:color w:val="1F3A5F"/>
        </w:rPr>
        <w:t>5.1 Causa raíz</w:t>
      </w:r>
    </w:p>
    <w:p>
      <w:r>
        <w:rPr>
          <w:b w:val="0"/>
          <w:i w:val="0"/>
        </w:rPr>
        <w:t>No es un bug de recuperación — el contexto correcto (sílabo con el rango real de semanas de la unidad) sí suele estar entre los fragmentos recuperados, pero el modelo generativo, al ver también un fragmento con una fórmula de calificación que usa una muestra de 2-3 semanas, confunde esa muestra con el total real de la unidad. Es un error de razonamiento sobre el contexto, no de retrieval — el fix correcto vive en el prompt, no en el índice.</w:t>
      </w:r>
    </w:p>
    <w:p>
      <w:pPr>
        <w:pStyle w:val="Heading2"/>
      </w:pPr>
      <w:r>
        <w:rPr>
          <w:color w:val="1F3A5F"/>
        </w:rPr>
        <w:t>5.2 El fix</w:t>
      </w:r>
    </w:p>
    <w:p>
      <w:r>
        <w:rPr>
          <w:b w:val="0"/>
          <w:i w:val="0"/>
        </w:rPr>
        <w:t>Se agregó una sección nueva al SYSTEM_PROMPT_TEMPLATE, genérica (no menciona "unidad 2" ni ningún curso puntual), instruyendo explícitamente a revisar todos los fragmentos en busca del dato que delimita el conjunto COMPLETO antes de dar un total, y a abstenerse de inferir un total a partir de una muestra parcial.</w:t>
      </w:r>
    </w:p>
    <w:p>
      <w:pPr>
        <w:ind w:left="432"/>
        <w:shd w:fill="F2F2F2"/>
      </w:pPr>
      <w:r>
        <w:rPr>
          <w:rFonts w:ascii="Consolas" w:hAnsi="Consolas"/>
          <w:color w:val="333333"/>
          <w:sz w:val="19"/>
        </w:rPr>
        <w:t>"NO CONFUNDAS UNA MUESTRA/SUBCONJUNTO CON EL TOTAL/COMPLETO: cuando la pregunta pide una "</w:t>
        <w:br/>
        <w:t>"cantidad total o completa (...), un fragmento recuperado puede mostrar solo una PARTE del "</w:t>
        <w:br/>
        <w:t>"conjunto real (...). Antes de dar un número total (...) revisá TODOS los fragmentos "</w:t>
        <w:br/>
        <w:t>"recuperados en busca del dato explícito que enumera o delimita el conjunto completo (...) "</w:t>
        <w:br/>
        <w:t>"Si (...) ninguno enumera el total real, decí que no encontraste el total exacto (...) en "</w:t>
        <w:br/>
        <w:t>"vez de inferirlo a partir de un ejemplo o subconjunto."</w:t>
      </w:r>
    </w:p>
    <w:p>
      <w:pPr>
        <w:pStyle w:val="Heading2"/>
      </w:pPr>
      <w:r>
        <w:rPr>
          <w:color w:val="1F3A5F"/>
        </w:rPr>
        <w:t>5.3 Por qué es genérico</w:t>
      </w:r>
    </w:p>
    <w:p>
      <w:pPr>
        <w:pStyle w:val="ListBullet"/>
      </w:pPr>
      <w:r>
        <w:t>Aplica a cualquier pregunta de conteo/total (semanas, sesiones, evaluaciones, lecturas, unidades) — no nombra ningún campo ni curso específico.</w:t>
      </w:r>
    </w:p>
    <w:p>
      <w:pPr>
        <w:pStyle w:val="ListBullet"/>
      </w:pPr>
      <w:r>
        <w:t>Es una instrucción de razonamiento sobre CÓMO leer el contexto recuperado, compartida por ambos asistentes vía el mismo SYSTEM_PROMPT_TEMPLATE — no un caso especial por curso.</w:t>
      </w:r>
    </w:p>
    <w:p>
      <w:pPr>
        <w:pStyle w:val="Heading2"/>
      </w:pPr>
      <w:r>
        <w:rPr>
          <w:color w:val="1F3A5F"/>
        </w:rPr>
        <w:t>5.4 Verificación</w:t>
      </w:r>
    </w:p>
    <w:p>
      <w:r>
        <w:rPr>
          <w:b w:val="0"/>
          <w:i w:val="0"/>
        </w:rPr>
        <w:t>Este fix se valida junto con el batch de 200 preguntas con ejemplos nuevos (ver documento separado "Idania - 200 Pruebas v2 (Ejemplos Nuevos, Post-Correcciones).docx"), que incluye casos de muestra-vs-total con fraseos y unidades distintos a los ya probados en el primer batch.</w:t>
      </w:r>
    </w:p>
    <w:p>
      <w:pPr>
        <w:pStyle w:val="Heading1"/>
      </w:pPr>
      <w:r>
        <w:rPr>
          <w:color w:val="1F3A5F"/>
        </w:rPr>
        <w:t>6. Alcance de los cambios / qué NO se tocó</w:t>
      </w:r>
    </w:p>
    <w:p>
      <w:pPr>
        <w:pStyle w:val="ListBullet"/>
      </w:pPr>
      <w:r>
        <w:t>No se modificó ninguna colección de Qdrant ni el ledger curso_archivos.</w:t>
      </w:r>
    </w:p>
    <w:p>
      <w:pPr>
        <w:pStyle w:val="ListBullet"/>
      </w:pPr>
      <w:r>
        <w:t>No se tocó producción — todo el trabajo de esta fase (implementación + verificación) se hizo contra el espejo local de datos de producción.</w:t>
      </w:r>
    </w:p>
    <w:p>
      <w:pPr>
        <w:pStyle w:val="ListBullet"/>
      </w:pPr>
      <w:r>
        <w:t>No se agregó ningún diccionario de sinónimos, lista de campos, ni regla condicionada al nombre de un curso/campo/archivo específico — se revisó explícitamente cada fix contra ese criterio antes de darlo por cerrado.</w:t>
      </w:r>
    </w:p>
    <w:p>
      <w:r>
        <w:rPr>
          <w:b w:val="0"/>
          <w:i w:val="0"/>
        </w:rPr>
        <w:t>Hallazgo colateral (fuera de alcance de estos 3 fixes): durante la verificación se observó que la ruta LÉXICA de detección de campo (detect_field(), no tocada en esta ronda) puede, en casos puntuales, matchear una pregunta puramente conceptual contra un campo real por simple coincidencia de una palabra de tema (ej. "ética") — mismo riesgo ya documentado como "caso A6" y ya mitigado en la ruta semántica, pero no en la léxica. No se corrigió en esta ronda por no formar parte de los 3 hallazgos reportados; se deja como recomendación de seguimiento.</w:t>
      </w:r>
    </w:p>
    <w:p>
      <w:pPr>
        <w:pStyle w:val="Heading1"/>
      </w:pPr>
      <w:r>
        <w:rPr>
          <w:color w:val="1F3A5F"/>
        </w:rPr>
        <w:t>7. Próximos pasos</w:t>
      </w:r>
    </w:p>
    <w:p>
      <w:pPr>
        <w:pStyle w:val="ListBullet"/>
      </w:pPr>
      <w:r>
        <w:t>Validar los 3 fixes contra un batch de 200 preguntas con ejemplos NUEVOS (distintos archivos/temas al primer batch) — en curso, documento separado.</w:t>
      </w:r>
    </w:p>
    <w:p>
      <w:pPr>
        <w:pStyle w:val="ListBullet"/>
      </w:pPr>
      <w:r>
        <w:t>Evaluación de calidad de vectorización de ambas colecciones (extracción, chunking, cobertura) — en curso, documento separado.</w:t>
      </w:r>
    </w:p>
    <w:p>
      <w:pPr>
        <w:pStyle w:val="ListBullet"/>
      </w:pPr>
      <w:r>
        <w:t>Tras validar localmente: commit, deploy/upload.sh + deploy/deploy.sh, y verificación end-to-end en producción repitiendo la secuencia real de la sesión 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