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Limpieza pendiente de chunks afectados</w:t>
      </w:r>
    </w:p>
    <w:p>
      <w:pPr>
        <w:jc w:val="center"/>
      </w:pPr>
      <w:r>
        <w:rPr>
          <w:color w:val="555555"/>
          <w:sz w:val="26"/>
        </w:rPr>
        <w:t>OCR de fórmulas garabateado y filas de tabla sobredimensionadas — Curso_1472 y Curso_1541</w:t>
      </w:r>
    </w:p>
    <w:p>
      <w:pPr>
        <w:jc w:val="center"/>
      </w:pPr>
      <w:r>
        <w:rPr>
          <w:i/>
          <w:color w:val="B03030"/>
          <w:sz w:val="20"/>
        </w:rPr>
        <w:t>Asistente Idania — ULADECH Católica  |  Septiembre 2026  |  Documento de registro, sin ejecutar</w:t>
      </w:r>
    </w:p>
    <w:p/>
    <w:p>
      <w:pPr>
        <w:pStyle w:val="Heading1"/>
      </w:pPr>
      <w:r>
        <w:rPr>
          <w:color w:val="1F3A5F"/>
        </w:rPr>
        <w:t>1. Por qué existe este documento</w:t>
      </w:r>
    </w:p>
    <w:p>
      <w:r>
        <w:rPr>
          <w:b w:val="0"/>
          <w:i w:val="0"/>
        </w:rPr>
        <w:t>La evaluación de calidad de vectorización de Curso_1472 y Curso_1541 (ver "Idania - Evaluación de Vectorización (1472 y 1541).docx") encontró dos bugs reales de extracción/chunking. Ambos ya se corrigieron en el código y se desplegaron a producción (commit 70c41f7):</w:t>
      </w:r>
    </w:p>
    <w:p>
      <w:pPr>
        <w:pStyle w:val="ListBullet"/>
      </w:pPr>
      <w:r>
        <w:t>El OCR de fórmulas (pix2tex) no tenía forma de rechazar una región que NO es una fórmula real — devolvía LaTeX con apariencia válida pero sin sentido.</w:t>
      </w:r>
    </w:p>
    <w:p>
      <w:pPr>
        <w:pStyle w:val="ListBullet"/>
      </w:pPr>
      <w:r>
        <w:t>Los chunks de fila de tabla (table_row) no tenían límite de tamaño — una celda con un párrafo largo podía generar un chunk 5-6 veces el tamaño normal.</w:t>
      </w:r>
    </w:p>
    <w:p>
      <w:r>
        <w:rPr>
          <w:b w:val="0"/>
          <w:i w:val="0"/>
          <w:color w:val="B03030"/>
        </w:rPr>
        <w:t>PERO ambos fixes son PREVENTIVOS, no retroactivos: solo cambian qué pasa la próxima vez que un archivo se vectoriza. Los chunks que ya quedaron mal en Qdrant siguen exactamente igual hasta que ese archivo puntual se vuelva a procesar. Este documento registra en qué consistiría esa limpieza y qué archivos concretos la necesitarían — no se ejecutó ninguna acción sobre producción, queda como pendiente (backlog) a pedido explícito.</w:t>
      </w:r>
    </w:p>
    <w:p>
      <w:pPr>
        <w:pStyle w:val="Heading1"/>
      </w:pPr>
      <w:r>
        <w:rPr>
          <w:color w:val="1F3A5F"/>
        </w:rPr>
        <w:t>2. Archivos concretos afectados</w:t>
      </w:r>
    </w:p>
    <w:p>
      <w:r>
        <w:rPr>
          <w:b w:val="0"/>
          <w:i w:val="0"/>
        </w:rPr>
        <w:t>Extraído directamente de la evaluación de vectorización (evaluate_vectorization_results.json) contra el espejo local de datos reales de producción.</w:t>
      </w:r>
    </w:p>
    <w:p>
      <w:pPr>
        <w:pStyle w:val="Heading2"/>
      </w:pPr>
      <w:r>
        <w:rPr>
          <w:color w:val="1F3A5F"/>
        </w:rPr>
        <w:t>2.1 Curso_1472 — OCR de fórmulas garabateado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576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88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Tipo de fuente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ABC del consultorio odontológico.pdf</w:t>
            </w:r>
          </w:p>
        </w:tc>
        <w:tc>
          <w:tcPr>
            <w:tcW w:type="dxa" w:w="2880"/>
          </w:tcPr>
          <w:p>
            <w:r>
              <w:t>Bibliografía complementaria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Artículo científico.pdf</w:t>
            </w:r>
          </w:p>
        </w:tc>
        <w:tc>
          <w:tcPr>
            <w:tcW w:type="dxa" w:w="2880"/>
          </w:tcPr>
          <w:p>
            <w:r>
              <w:t>Bibliografía complementaria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LIBRO.pdf</w:t>
            </w:r>
          </w:p>
        </w:tc>
        <w:tc>
          <w:tcPr>
            <w:tcW w:type="dxa" w:w="2880"/>
          </w:tcPr>
          <w:p>
            <w:r>
              <w:t>Bibliografía complementaria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TABLAS COMPARATIVAS GENERAL DE LA NOMENCLATURA DENTARIA.pdf</w:t>
            </w:r>
          </w:p>
        </w:tc>
        <w:tc>
          <w:tcPr>
            <w:tcW w:type="dxa" w:w="2880"/>
          </w:tcPr>
          <w:p>
            <w:r>
              <w:t>Material propio del curso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TESIS.pdf</w:t>
            </w:r>
          </w:p>
        </w:tc>
        <w:tc>
          <w:tcPr>
            <w:tcW w:type="dxa" w:w="2880"/>
          </w:tcPr>
          <w:p>
            <w:r>
              <w:t>Bibliografía complementaria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0"/>
          </w:tcPr>
          <w:p>
            <w:r>
              <w:t>diagnostico-situacion-amalgama-dental.pdf</w:t>
            </w:r>
          </w:p>
        </w:tc>
        <w:tc>
          <w:tcPr>
            <w:tcW w:type="dxa" w:w="2880"/>
          </w:tcPr>
          <w:p>
            <w:r>
              <w:t>Bibliografía complementaria</w:t>
            </w:r>
          </w:p>
        </w:tc>
      </w:tr>
    </w:tbl>
    <w:p>
      <w:pPr>
        <w:pStyle w:val="Heading2"/>
      </w:pPr>
      <w:r>
        <w:rPr>
          <w:color w:val="1F3A5F"/>
        </w:rPr>
        <w:t>2.2 Curso_1472 — chunk table_row sobredimensionado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89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Sistema de notación dentaria.pdf</w:t>
            </w:r>
          </w:p>
        </w:tc>
        <w:tc>
          <w:tcPr>
            <w:tcW w:type="dxa" w:w="4896"/>
          </w:tcPr>
          <w:p>
            <w:r>
              <w:t>2 chunks de ~5,000-5,350 caracteres (5.6-5.9x el tamaño normal de chunk, 900)</w:t>
            </w:r>
          </w:p>
        </w:tc>
      </w:tr>
    </w:tbl>
    <w:p>
      <w:pPr>
        <w:pStyle w:val="Heading2"/>
      </w:pPr>
      <w:r>
        <w:rPr>
          <w:color w:val="1F3A5F"/>
        </w:rPr>
        <w:t>2.3 Curso_1541 — OCR de fórmulas garabateado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33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88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Tipo de fuente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336"/>
          </w:tcPr>
          <w:p>
            <w:r>
              <w:t>Filosofía, ética y educación para la ciudadanía en la era digital.pdf</w:t>
            </w:r>
          </w:p>
        </w:tc>
        <w:tc>
          <w:tcPr>
            <w:tcW w:type="dxa" w:w="2880"/>
          </w:tcPr>
          <w:p>
            <w:r>
              <w:t>Bibliografía complementaria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336"/>
          </w:tcPr>
          <w:p>
            <w:r>
              <w:t>SESION_01_FILOSOFIA_DE_LA_EDUCACION_2026II.pdf</w:t>
            </w:r>
          </w:p>
        </w:tc>
        <w:tc>
          <w:tcPr>
            <w:tcW w:type="dxa" w:w="2880"/>
          </w:tcPr>
          <w:p>
            <w:r>
              <w:t>Material propio del curso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336"/>
          </w:tcPr>
          <w:p>
            <w:r>
              <w:t>SESION_05_FILOSOFIA_DE_LA_EDUCACION_2026II__46881.pdf</w:t>
            </w:r>
          </w:p>
        </w:tc>
        <w:tc>
          <w:tcPr>
            <w:tcW w:type="dxa" w:w="2880"/>
          </w:tcPr>
          <w:p>
            <w:r>
              <w:t>Material propio del curso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336"/>
          </w:tcPr>
          <w:p>
            <w:r>
              <w:t>SESION_10_FILOSOFIA_DE_LA_EDUCACION_2026II.pdf</w:t>
            </w:r>
          </w:p>
        </w:tc>
        <w:tc>
          <w:tcPr>
            <w:tcW w:type="dxa" w:w="2880"/>
          </w:tcPr>
          <w:p>
            <w:r>
              <w:t>Material propio del curso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336"/>
          </w:tcPr>
          <w:p>
            <w:r>
              <w:t>SESION_14_FILOSOFIA_DE_LA_EDUCACION_2026II.pdf</w:t>
            </w:r>
          </w:p>
        </w:tc>
        <w:tc>
          <w:tcPr>
            <w:tcW w:type="dxa" w:w="2880"/>
          </w:tcPr>
          <w:p>
            <w:r>
              <w:t>Material propio del curso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336"/>
          </w:tcPr>
          <w:p>
            <w:r>
              <w:t>SESION_15_FILOSOFIA_DE_LA_EDUCACION_2026II.pdf</w:t>
            </w:r>
          </w:p>
        </w:tc>
        <w:tc>
          <w:tcPr>
            <w:tcW w:type="dxa" w:w="2880"/>
          </w:tcPr>
          <w:p>
            <w:r>
              <w:t>Material propio del curso</w:t>
            </w:r>
          </w:p>
        </w:tc>
      </w:tr>
    </w:tbl>
    <w:p>
      <w:r>
        <w:rPr>
          <w:b w:val="0"/>
          <w:i/>
          <w:color w:val="555555"/>
        </w:rPr>
        <w:t>Nota: el daño es contenido puntual malo en unos pocos fragmentos por archivo (los que cayeron en una región mal detectada como fórmula), no el documento completo — el resto del contenido de cada archivo está correctamente indexado.</w:t>
      </w:r>
    </w:p>
    <w:p>
      <w:pPr>
        <w:pStyle w:val="Heading1"/>
      </w:pPr>
      <w:r>
        <w:rPr>
          <w:color w:val="1F3A5F"/>
        </w:rPr>
        <w:t>3. Qué implicaría la limpieza real</w:t>
      </w:r>
    </w:p>
    <w:p>
      <w:pPr>
        <w:pStyle w:val="ListNumber"/>
      </w:pPr>
      <w:r>
        <w:t>Identificar cada archivo en el flujo de "Actualización" del panel de gestión (o directamente vía HybridVectorizationService), apuntando al mismo qdrant_collection_name y mismo nombre de archivo.</w:t>
      </w:r>
    </w:p>
    <w:p>
      <w:pPr>
        <w:pStyle w:val="ListNumber"/>
      </w:pPr>
      <w:r>
        <w:t>Borrar los chunks existentes de ese archivo puntual en Qdrant e insertar los nuevos — no toca el resto de la colección, solo ese documento.</w:t>
      </w:r>
    </w:p>
    <w:p>
      <w:pPr>
        <w:pStyle w:val="ListNumber"/>
      </w:pPr>
      <w:r>
        <w:t>Re-extraer y re-trocear con el pipeline actual, ya con los 2 fixes activos: el OCR de fórmulas ahora descarta el LaTeX no plausible y cae a EasyOCR; las filas de tabla gigantes ahora se parten con el mismo splitter que tabla/prosa.</w:t>
      </w:r>
    </w:p>
    <w:p>
      <w:pPr>
        <w:pStyle w:val="ListNumber"/>
      </w:pPr>
      <w:r>
        <w:t>Recalcular el índice de campos estructurados para esa colección (campos_estructurados.sync_after_vectorization() — retag_repeated_templates() + rebuild_index()), porque agregar/quitar chunks puede cambiar qué tablas se detectan como plantilla repetida.</w:t>
      </w:r>
    </w:p>
    <w:p>
      <w:pPr>
        <w:pStyle w:val="ListNumber"/>
      </w:pPr>
      <w:r>
        <w:t>Costo real: cada archivo se vuelve a embeber completo (llamadas a la API de embeddings sobre todo el documento, no solo los chunks rotos) — son documentos grandes (algunos con cientos de chunks), no es una operación gratuita en tiempo ni en costo de API.</w:t>
      </w:r>
    </w:p>
    <w:p>
      <w:pPr>
        <w:pStyle w:val="Heading1"/>
      </w:pPr>
      <w:r>
        <w:rPr>
          <w:color w:val="1F3A5F"/>
        </w:rPr>
        <w:t>4. Riesgo y por qué no se ejecutó todavía</w:t>
      </w:r>
    </w:p>
    <w:p>
      <w:r>
        <w:rPr>
          <w:b w:val="0"/>
          <w:i w:val="0"/>
        </w:rPr>
        <w:t>Es más invasivo que la sincronización del ledger (curso_archivos) discutida por separado: esa es solo metadata de seguimiento, mientras que esto sí borra e inserta vectores reales en la colección de producción. Por eso se dejó documentado como pendiente en vez de ejecutarse junto con los fixes de código — requiere una decisión explícita de cuándo y con qué prioridad hacerlo.</w:t>
      </w:r>
    </w:p>
    <w:p>
      <w:pPr>
        <w:pStyle w:val="Heading1"/>
      </w:pPr>
      <w:r>
        <w:rPr>
          <w:color w:val="1F3A5F"/>
        </w:rPr>
        <w:t>5. Estado</w:t>
      </w:r>
    </w:p>
    <w:p>
      <w:r>
        <w:rPr>
          <w:b/>
          <w:i w:val="0"/>
          <w:color w:val="B03030"/>
        </w:rPr>
        <w:t>Pendiente (backlog), sin fecha asignada. Ningún cambio se aplicó a producción como parte de este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