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Idania como Mentor Académico</w:t>
      </w:r>
    </w:p>
    <w:p>
      <w:r>
        <w:rPr>
          <w:b w:val="0"/>
          <w:i/>
        </w:rPr>
        <w:t>Eliminación definitiva del router de metadata (Fase 3.7) y evaluación integral de 218 interacciones sobre el contenido completo de Curso_1472 y Curso_1541</w:t>
      </w:r>
    </w:p>
    <w:p>
      <w:r>
        <w:rPr>
          <w:b w:val="0"/>
          <w:i/>
          <w:color w:val="B35C00"/>
        </w:rPr>
        <w:t>Todo el trabajo se realizó exclusivamente sobre colecciones EXPERIMENTALES de desarrollo (Curso_1472_experiment_v2, Curso_1541_experiment_v2). Ningún dato ni colección de producción fue tocado. No se desplegó nada a producción.</w:t>
      </w:r>
    </w:p>
    <w:p/>
    <w:p>
      <w:r>
        <w:rPr>
          <w:b/>
          <w:i w:val="0"/>
        </w:rPr>
        <w:t>Resumen ejecutivo</w:t>
      </w:r>
    </w:p>
    <w:p>
      <w:r>
        <w:rPr>
          <w:b w:val="0"/>
          <w:i w:val="0"/>
        </w:rPr>
        <w:t>Se eliminó por completo el router de metadata basado en regex curados (_METADATA_FIELD_PATTERNS, is_metadata_query, apply_metadata_query_boost, use_metadata_router) — answer_query() ya no lo importa, ejecuta ni necesita. La arquitectura quedó en Índice de Campos Estructurados + Qdrant Hybrid Retrieval + Reranking + Evidence Gate + generación grounded, sin ningún camino alternativo basado en palabras clave curadas.</w:t>
      </w:r>
    </w:p>
    <w:p>
      <w:r>
        <w:rPr>
          <w:b w:val="0"/>
          <w:i w:val="0"/>
        </w:rPr>
        <w:t>Se construyó y ejecutó una evaluación de 218 interacciones (238 turnos, incluyendo 10 conversaciones multi-turno) que cubre el contenido REAL completo de ambos cursos — no solo metadata — distribuidas en 10 categorías pedagógicas. Resultado headline: sobre el criterio más importante del mandato (grounding/ausencia de alucinaciones), la tasa de alucinación REAL verificada manualmente es 0 de 238 turnos (0%) — el único caso marcado por el juez automatizado como alucinación fue, tras revisión, un falso positivo del propio juez (ver sección 7). La tasa de aprobación pedagógica global (criterio del juez automatizado, más estricto y con más matices) fue 82.4%, con hallazgos reales y accionables documentados en la sección 11 — ninguno de ellos relacionado con invención de información.</w:t>
      </w:r>
    </w:p>
    <w:p>
      <w:pPr>
        <w:pStyle w:val="Heading1"/>
      </w:pPr>
      <w:r>
        <w:t>1. Eliminación del router de metadata (Fase 3.7)</w:t>
      </w:r>
    </w:p>
    <w:p>
      <w:r>
        <w:rPr>
          <w:b w:val="0"/>
          <w:i w:val="0"/>
        </w:rPr>
        <w:t>Búsqueda exhaustiva del repositorio (imports, funciones, parámetros, flags, tests, configuración, documentación) antes de eliminar — resultado: el router SOLO se usaba en 2 archivos de código vivo (rag_pipeline.py, strategies/rerank.py) y nunca fue importado desde app.py, core.py ni ningún test — confirmando que jamás estuvo activo fuera de este experimento.</w:t>
      </w:r>
    </w:p>
    <w:p>
      <w:r>
        <w:rPr>
          <w:b/>
          <w:i w:val="0"/>
        </w:rPr>
        <w:t>Eliminado por completo:</w:t>
      </w:r>
    </w:p>
    <w:p>
      <w:pPr>
        <w:pStyle w:val="ListBullet"/>
      </w:pPr>
      <w:r>
        <w:t>_METADATA_FIELD_PATTERNS, is_metadata_query(), _metadata_field_keyword(), apply_metadata_query_boost() — retirados de strategies/rerank.py junto con _strip_accents_lower() (sin otros usos) y el import unicodedata (quedó sin uso).</w:t>
      </w:r>
    </w:p>
    <w:p>
      <w:pPr>
        <w:pStyle w:val="ListBullet"/>
      </w:pPr>
      <w:r>
        <w:t>use_metadata_router — retirado como parámetro de retrieve_rerank_boost() y answer_query(); la lógica de ensanchar top_k/prefetch_limit para 'preguntas de metadata' (que solo servía al router) también se retiró.</w:t>
      </w:r>
    </w:p>
    <w:p>
      <w:pPr>
        <w:pStyle w:val="ListBullet"/>
      </w:pPr>
      <w:r>
        <w:t>use_structured_index — retirado como flag opcional: el índice estructurado pasó de ser un experimento opt-in a un componente permanente y siempre activo de la arquitectura (con fallback seguro automático si una colección no tiene índice poblado en Postgres).</w:t>
      </w:r>
    </w:p>
    <w:p>
      <w:pPr>
        <w:pStyle w:val="ListBullet"/>
      </w:pPr>
      <w:r>
        <w:t>run_three_way_eval_comparison.py — script de comparación que dependía del flag del router, eliminado por quedar inejecutable (código muerto).</w:t>
      </w:r>
    </w:p>
    <w:p>
      <w:r>
        <w:rPr>
          <w:b w:val="0"/>
          <w:i w:val="0"/>
          <w:color w:val="1E7A34"/>
        </w:rPr>
        <w:t>Verificación: answer_query() y retrieve_rerank_boost() ya NO tienen use_metadata_router en su firma; grep de _METADATA_FIELD_PATTERNS/is_metadata_query/apply_metadata_query_boost/use_metadata_router en todo el repositorio solo encuentra 3 menciones, todas en comentarios que documentan explícitamente que el símbolo 'fue retirado' — cero referencias funcionales.</w:t>
      </w:r>
    </w:p>
    <w:p>
      <w:r>
        <w:rPr>
          <w:b w:val="0"/>
          <w:i w:val="0"/>
          <w:color w:val="1E7A34"/>
        </w:rPr>
        <w:t>Prueba de humo post-eliminación: answer_query() sin ningún flag responde correctamente en ambos cursos (docente/modalidad/conceptual), con el índice estructurado activándose automáticamente sin necesidad de ningún parámetro.</w:t>
      </w:r>
    </w:p>
    <w:p>
      <w:pPr>
        <w:pStyle w:val="Heading1"/>
      </w:pPr>
      <w:r>
        <w:t>2. Arquitectura final</w:t>
      </w:r>
    </w:p>
    <w:p>
      <w:r>
        <w:rPr>
          <w:b w:val="0"/>
          <w:i w:val="0"/>
        </w:rPr>
        <w:t>Flujo implementado en answer_query() (rag_pipeline.py), tal como lo especificó el mandato:</w:t>
      </w:r>
    </w:p>
    <w:p>
      <w:r>
        <w:rPr>
          <w:rFonts w:ascii="Consolas" w:hAnsi="Consolas"/>
          <w:sz w:val="17"/>
        </w:rPr>
        <w:t>Pregunta del estudiante</w:t>
        <w:br/>
        <w:t xml:space="preserve">        |</w:t>
        <w:br/>
        <w:t xml:space="preserve">        v</w:t>
        <w:br/>
        <w:t>retrieve_rerank_boost(): hybrid_retrieve() [Qdrant dense+sparse fusionados]</w:t>
        <w:br/>
        <w:t xml:space="preserve">        -&gt; reranker -&gt; apply_source_boost() -&gt; apply_week_boost()</w:t>
        <w:br/>
        <w:t xml:space="preserve">        |</w:t>
        <w:br/>
        <w:t xml:space="preserve">        v</w:t>
        <w:br/>
        <w:t>campos_estructurados.structured_lookup(): SIEMPRE se consulta (no requiere</w:t>
        <w:br/>
        <w:t>flag) -&gt; si hay evidencia de alta confianza, se inserta como candidato</w:t>
        <w:br/>
        <w:t>sintetico de maxima prioridad en el MISMO pool -- nunca un asistente aparte</w:t>
        <w:br/>
        <w:t xml:space="preserve">        |</w:t>
        <w:br/>
        <w:t xml:space="preserve">        v</w:t>
        <w:br/>
        <w:t>Evidencia consolidada (Qdrant + indice estructurado, un solo pool)</w:t>
        <w:br/>
        <w:t xml:space="preserve">        |</w:t>
        <w:br/>
        <w:t xml:space="preserve">        v</w:t>
        <w:br/>
        <w:t>Filtro MIN_SOURCE_RELEVANCE (Evidence/Answerability Gate) + verificacion de</w:t>
        <w:br/>
        <w:t>fuente solicitada (annotate_source_match)</w:t>
        <w:br/>
        <w:t xml:space="preserve">        |</w:t>
        <w:br/>
        <w:t xml:space="preserve">        v</w:t>
        <w:br/>
        <w:t xml:space="preserve">      evidencia suficiente? --NO--&gt; abstencion (prompt indica no inventar)</w:t>
        <w:br/>
        <w:t xml:space="preserve">        |</w:t>
        <w:br/>
        <w:t xml:space="preserve">       SI</w:t>
        <w:br/>
        <w:t xml:space="preserve">        v</w:t>
        <w:br/>
        <w:t>Generacion grounded (system prompt fijo + evidencia) -&gt; respuesta mentor</w:t>
      </w:r>
    </w:p>
    <w:p>
      <w:r>
        <w:rPr>
          <w:b w:val="0"/>
          <w:i w:val="0"/>
        </w:rPr>
        <w:t>El índice estructurado nunca compite como 'otro asistente': se consulta siempre, y su resultado (confident/confident_row/ambiguous/insufficient/not_found) se traduce a UN candidato más dentro de la misma lista que ya usan el reranking y el Evidence Gate — exactamente como pidió el punto 7 del mandato anterior ('no quiero dos sistemas independientes que respondan por separado').</w:t>
      </w:r>
    </w:p>
    <w:p>
      <w:pPr>
        <w:pStyle w:val="Heading1"/>
      </w:pPr>
      <w:r>
        <w:t>3. Cobertura del curso — inventario real usado para construir las pruebas</w:t>
      </w:r>
    </w:p>
    <w:p>
      <w:r>
        <w:rPr>
          <w:b w:val="0"/>
          <w:i w:val="0"/>
        </w:rPr>
        <w:t>Curso_1472 (Introducción a la Odontología): 100 documentos distintos, 13 semanas con sesión de aprendizaje propia (semanas 4 y 8 NO tienen documento de sesión dedicado en el curso real — hueco genuino del curso, documentado como tal, no una omisión de la muestra).</w:t>
      </w:r>
    </w:p>
    <w:p>
      <w:r>
        <w:rPr>
          <w:b w:val="0"/>
          <w:i w:val="0"/>
        </w:rPr>
        <w:t>Curso_1541 (Filosofía de la Educación): 62 documentos distintos, 16 semanas (2 unidades: U1 semanas 1-7 + examen semana 8; U2 semanas 9-15 + evaluación sumativa semana 16), con 15 pares de sesión docx/pdf duplicados.</w:t>
      </w:r>
    </w:p>
    <w:p>
      <w:r>
        <w:rPr>
          <w:b w:val="0"/>
          <w:i w:val="0"/>
        </w:rPr>
        <w:t>Las preguntas de cobertura/tutoría/profundización se construyeron a partir de MUESTRAS REALES de texto extraídas directamente de Qdrant por semana (chunks tipo 'prose' de cada documento real de esa semana) — no se inventó ningún tema; cada pregunta está anclada en un fragmento verificado del curso.</w:t>
      </w:r>
    </w:p>
    <w:p>
      <w:pPr>
        <w:pStyle w:val="Heading1"/>
      </w:pPr>
      <w:r>
        <w:t>4-5. Resultados de las 218 interacciones (238 turnos) — por categoría y por curso</w:t>
      </w:r>
    </w:p>
    <w:p>
      <w:r>
        <w:rPr>
          <w:b w:val="0"/>
          <w:i w:val="0"/>
        </w:rPr>
        <w:t>Distribución final (documentada, ligeramente ajustada de 210 a 208 preguntas de un solo turno por el hueco real de semanas 4/8 de Curso_1472, más 10 conversaciones multi-turno adicionales = 218 items, 238 turnos evaluados):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Categoría</w:t>
            </w:r>
          </w:p>
        </w:tc>
        <w:tc>
          <w:tcPr>
            <w:tcW w:type="dxa" w:w="1728"/>
          </w:tcPr>
          <w:p>
            <w:r>
              <w:rPr>
                <w:b/>
              </w:rPr>
              <w:t>n (turnos)</w:t>
            </w:r>
          </w:p>
        </w:tc>
        <w:tc>
          <w:tcPr>
            <w:tcW w:type="dxa" w:w="1728"/>
          </w:tcPr>
          <w:p>
            <w:r>
              <w:rPr>
                <w:b/>
              </w:rPr>
              <w:t>Aprobación (juez automático)</w:t>
            </w:r>
          </w:p>
        </w:tc>
        <w:tc>
          <w:tcPr>
            <w:tcW w:type="dxa" w:w="1728"/>
          </w:tcPr>
          <w:p>
            <w:r>
              <w:rPr>
                <w:b/>
              </w:rPr>
              <w:t>1472</w:t>
            </w:r>
          </w:p>
        </w:tc>
        <w:tc>
          <w:tcPr>
            <w:tcW w:type="dxa" w:w="1728"/>
          </w:tcPr>
          <w:p>
            <w:r>
              <w:rPr>
                <w:b/>
              </w:rPr>
              <w:t>1541</w:t>
            </w:r>
          </w:p>
        </w:tc>
      </w:tr>
      <w:tr>
        <w:tc>
          <w:tcPr>
            <w:tcW w:type="dxa" w:w="1728"/>
          </w:tcPr>
          <w:p>
            <w:r>
              <w:t>A — Cobertura de contenido</w:t>
            </w:r>
          </w:p>
        </w:tc>
        <w:tc>
          <w:tcPr>
            <w:tcW w:type="dxa" w:w="1728"/>
          </w:tcPr>
          <w:p>
            <w:r>
              <w:t>58</w:t>
            </w:r>
          </w:p>
        </w:tc>
        <w:tc>
          <w:tcPr>
            <w:tcW w:type="dxa" w:w="1728"/>
          </w:tcPr>
          <w:p>
            <w:r>
              <w:t>89.7%</w:t>
            </w:r>
          </w:p>
        </w:tc>
        <w:tc>
          <w:tcPr>
            <w:tcW w:type="dxa" w:w="1728"/>
          </w:tcPr>
          <w:p>
            <w:r>
              <w:t>86%</w:t>
            </w:r>
          </w:p>
        </w:tc>
        <w:tc>
          <w:tcPr>
            <w:tcW w:type="dxa" w:w="1728"/>
          </w:tcPr>
          <w:p>
            <w:r>
              <w:t>93%</w:t>
            </w:r>
          </w:p>
        </w:tc>
      </w:tr>
      <w:tr>
        <w:tc>
          <w:tcPr>
            <w:tcW w:type="dxa" w:w="1728"/>
          </w:tcPr>
          <w:p>
            <w:r>
              <w:t>B — Tutoría conceptual</w:t>
            </w:r>
          </w:p>
        </w:tc>
        <w:tc>
          <w:tcPr>
            <w:tcW w:type="dxa" w:w="1728"/>
          </w:tcPr>
          <w:p>
            <w:r>
              <w:t>30</w:t>
            </w:r>
          </w:p>
        </w:tc>
        <w:tc>
          <w:tcPr>
            <w:tcW w:type="dxa" w:w="1728"/>
          </w:tcPr>
          <w:p>
            <w:r>
              <w:t>86.7%</w:t>
            </w:r>
          </w:p>
        </w:tc>
        <w:tc>
          <w:tcPr>
            <w:tcW w:type="dxa" w:w="1728"/>
          </w:tcPr>
          <w:p>
            <w:r>
              <w:t>73%</w:t>
            </w:r>
          </w:p>
        </w:tc>
        <w:tc>
          <w:tcPr>
            <w:tcW w:type="dxa" w:w="1728"/>
          </w:tcPr>
          <w:p>
            <w:r>
              <w:t>100%</w:t>
            </w:r>
          </w:p>
        </w:tc>
      </w:tr>
      <w:tr>
        <w:tc>
          <w:tcPr>
            <w:tcW w:type="dxa" w:w="1728"/>
          </w:tcPr>
          <w:p>
            <w:r>
              <w:t>C — Profundización</w:t>
            </w:r>
          </w:p>
        </w:tc>
        <w:tc>
          <w:tcPr>
            <w:tcW w:type="dxa" w:w="1728"/>
          </w:tcPr>
          <w:p>
            <w:r>
              <w:t>20</w:t>
            </w:r>
          </w:p>
        </w:tc>
        <w:tc>
          <w:tcPr>
            <w:tcW w:type="dxa" w:w="1728"/>
          </w:tcPr>
          <w:p>
            <w:r>
              <w:t>80.0%</w:t>
            </w:r>
          </w:p>
        </w:tc>
        <w:tc>
          <w:tcPr>
            <w:tcW w:type="dxa" w:w="1728"/>
          </w:tcPr>
          <w:p>
            <w:r>
              <w:t>70%</w:t>
            </w:r>
          </w:p>
        </w:tc>
        <w:tc>
          <w:tcPr>
            <w:tcW w:type="dxa" w:w="1728"/>
          </w:tcPr>
          <w:p>
            <w:r>
              <w:t>90%</w:t>
            </w:r>
          </w:p>
        </w:tc>
      </w:tr>
      <w:tr>
        <w:tc>
          <w:tcPr>
            <w:tcW w:type="dxa" w:w="1728"/>
          </w:tcPr>
          <w:p>
            <w:r>
              <w:t>D — Guía de actividades</w:t>
            </w:r>
          </w:p>
        </w:tc>
        <w:tc>
          <w:tcPr>
            <w:tcW w:type="dxa" w:w="1728"/>
          </w:tcPr>
          <w:p>
            <w:r>
              <w:t>20</w:t>
            </w:r>
          </w:p>
        </w:tc>
        <w:tc>
          <w:tcPr>
            <w:tcW w:type="dxa" w:w="1728"/>
          </w:tcPr>
          <w:p>
            <w:r>
              <w:t>90.0%</w:t>
            </w:r>
          </w:p>
        </w:tc>
        <w:tc>
          <w:tcPr>
            <w:tcW w:type="dxa" w:w="1728"/>
          </w:tcPr>
          <w:p>
            <w:r>
              <w:t>80%</w:t>
            </w:r>
          </w:p>
        </w:tc>
        <w:tc>
          <w:tcPr>
            <w:tcW w:type="dxa" w:w="1728"/>
          </w:tcPr>
          <w:p>
            <w:r>
              <w:t>100%</w:t>
            </w:r>
          </w:p>
        </w:tc>
      </w:tr>
      <w:tr>
        <w:tc>
          <w:tcPr>
            <w:tcW w:type="dxa" w:w="1728"/>
          </w:tcPr>
          <w:p>
            <w:r>
              <w:t>E — Razonamiento y aplicación</w:t>
            </w:r>
          </w:p>
        </w:tc>
        <w:tc>
          <w:tcPr>
            <w:tcW w:type="dxa" w:w="1728"/>
          </w:tcPr>
          <w:p>
            <w:r>
              <w:t>20</w:t>
            </w:r>
          </w:p>
        </w:tc>
        <w:tc>
          <w:tcPr>
            <w:tcW w:type="dxa" w:w="1728"/>
          </w:tcPr>
          <w:p>
            <w:r>
              <w:t>95.0%</w:t>
            </w:r>
          </w:p>
        </w:tc>
        <w:tc>
          <w:tcPr>
            <w:tcW w:type="dxa" w:w="1728"/>
          </w:tcPr>
          <w:p>
            <w:r>
              <w:t>90%</w:t>
            </w:r>
          </w:p>
        </w:tc>
        <w:tc>
          <w:tcPr>
            <w:tcW w:type="dxa" w:w="1728"/>
          </w:tcPr>
          <w:p>
            <w:r>
              <w:t>100%</w:t>
            </w:r>
          </w:p>
        </w:tc>
      </w:tr>
      <w:tr>
        <w:tc>
          <w:tcPr>
            <w:tcW w:type="dxa" w:w="1728"/>
          </w:tcPr>
          <w:p>
            <w:r>
              <w:t>F — Comparación/integración</w:t>
            </w:r>
          </w:p>
        </w:tc>
        <w:tc>
          <w:tcPr>
            <w:tcW w:type="dxa" w:w="1728"/>
          </w:tcPr>
          <w:p>
            <w:r>
              <w:t>15</w:t>
            </w:r>
          </w:p>
        </w:tc>
        <w:tc>
          <w:tcPr>
            <w:tcW w:type="dxa" w:w="1728"/>
          </w:tcPr>
          <w:p>
            <w:r>
              <w:t>73.3%</w:t>
            </w:r>
          </w:p>
        </w:tc>
        <w:tc>
          <w:tcPr>
            <w:tcW w:type="dxa" w:w="1728"/>
          </w:tcPr>
          <w:p>
            <w:r>
              <w:t>75%</w:t>
            </w:r>
          </w:p>
        </w:tc>
        <w:tc>
          <w:tcPr>
            <w:tcW w:type="dxa" w:w="1728"/>
          </w:tcPr>
          <w:p>
            <w:r>
              <w:t>71%</w:t>
            </w:r>
          </w:p>
        </w:tc>
      </w:tr>
      <w:tr>
        <w:tc>
          <w:tcPr>
            <w:tcW w:type="dxa" w:w="1728"/>
          </w:tcPr>
          <w:p>
            <w:r>
              <w:t>G — Metadata estructurada</w:t>
            </w:r>
          </w:p>
        </w:tc>
        <w:tc>
          <w:tcPr>
            <w:tcW w:type="dxa" w:w="1728"/>
          </w:tcPr>
          <w:p>
            <w:r>
              <w:t>15</w:t>
            </w:r>
          </w:p>
        </w:tc>
        <w:tc>
          <w:tcPr>
            <w:tcW w:type="dxa" w:w="1728"/>
          </w:tcPr>
          <w:p>
            <w:r>
              <w:t>66.7%</w:t>
            </w:r>
          </w:p>
        </w:tc>
        <w:tc>
          <w:tcPr>
            <w:tcW w:type="dxa" w:w="1728"/>
          </w:tcPr>
          <w:p>
            <w:r>
              <w:t>71%</w:t>
            </w:r>
          </w:p>
        </w:tc>
        <w:tc>
          <w:tcPr>
            <w:tcW w:type="dxa" w:w="1728"/>
          </w:tcPr>
          <w:p>
            <w:r>
              <w:t>62%</w:t>
            </w:r>
          </w:p>
        </w:tc>
      </w:tr>
      <w:tr>
        <w:tc>
          <w:tcPr>
            <w:tcW w:type="dxa" w:w="1728"/>
          </w:tcPr>
          <w:p>
            <w:r>
              <w:t>H — Fuente específica</w:t>
            </w:r>
          </w:p>
        </w:tc>
        <w:tc>
          <w:tcPr>
            <w:tcW w:type="dxa" w:w="1728"/>
          </w:tcPr>
          <w:p>
            <w:r>
              <w:t>10</w:t>
            </w:r>
          </w:p>
        </w:tc>
        <w:tc>
          <w:tcPr>
            <w:tcW w:type="dxa" w:w="1728"/>
          </w:tcPr>
          <w:p>
            <w:r>
              <w:t>60.0%</w:t>
            </w:r>
          </w:p>
        </w:tc>
        <w:tc>
          <w:tcPr>
            <w:tcW w:type="dxa" w:w="1728"/>
          </w:tcPr>
          <w:p>
            <w:r>
              <w:t>60%</w:t>
            </w:r>
          </w:p>
        </w:tc>
        <w:tc>
          <w:tcPr>
            <w:tcW w:type="dxa" w:w="1728"/>
          </w:tcPr>
          <w:p>
            <w:r>
              <w:t>60%</w:t>
            </w:r>
          </w:p>
        </w:tc>
      </w:tr>
      <w:tr>
        <w:tc>
          <w:tcPr>
            <w:tcW w:type="dxa" w:w="1728"/>
          </w:tcPr>
          <w:p>
            <w:r>
              <w:t>I — Fuera de alcance/ausente</w:t>
            </w:r>
          </w:p>
        </w:tc>
        <w:tc>
          <w:tcPr>
            <w:tcW w:type="dxa" w:w="1728"/>
          </w:tcPr>
          <w:p>
            <w:r>
              <w:t>10</w:t>
            </w:r>
          </w:p>
        </w:tc>
        <w:tc>
          <w:tcPr>
            <w:tcW w:type="dxa" w:w="1728"/>
          </w:tcPr>
          <w:p>
            <w:r>
              <w:t>70.0%</w:t>
            </w:r>
          </w:p>
        </w:tc>
        <w:tc>
          <w:tcPr>
            <w:tcW w:type="dxa" w:w="1728"/>
          </w:tcPr>
          <w:p>
            <w:r>
              <w:t>40%</w:t>
            </w:r>
          </w:p>
        </w:tc>
        <w:tc>
          <w:tcPr>
            <w:tcW w:type="dxa" w:w="1728"/>
          </w:tcPr>
          <w:p>
            <w:r>
              <w:t>100%</w:t>
            </w:r>
          </w:p>
        </w:tc>
      </w:tr>
      <w:tr>
        <w:tc>
          <w:tcPr>
            <w:tcW w:type="dxa" w:w="1728"/>
          </w:tcPr>
          <w:p>
            <w:r>
              <w:t>J — Contradicciones/adversarial</w:t>
            </w:r>
          </w:p>
        </w:tc>
        <w:tc>
          <w:tcPr>
            <w:tcW w:type="dxa" w:w="1728"/>
          </w:tcPr>
          <w:p>
            <w:r>
              <w:t>10</w:t>
            </w:r>
          </w:p>
        </w:tc>
        <w:tc>
          <w:tcPr>
            <w:tcW w:type="dxa" w:w="1728"/>
          </w:tcPr>
          <w:p>
            <w:r>
              <w:t>40.0%</w:t>
            </w:r>
          </w:p>
        </w:tc>
        <w:tc>
          <w:tcPr>
            <w:tcW w:type="dxa" w:w="1728"/>
          </w:tcPr>
          <w:p>
            <w:r>
              <w:t>20%</w:t>
            </w:r>
          </w:p>
        </w:tc>
        <w:tc>
          <w:tcPr>
            <w:tcW w:type="dxa" w:w="1728"/>
          </w:tcPr>
          <w:p>
            <w:r>
              <w:t>60%</w:t>
            </w:r>
          </w:p>
        </w:tc>
      </w:tr>
      <w:tr>
        <w:tc>
          <w:tcPr>
            <w:tcW w:type="dxa" w:w="1728"/>
          </w:tcPr>
          <w:p>
            <w:r>
              <w:t>K — Multi-turno (30 turnos, 10 conversaciones)</w:t>
            </w:r>
          </w:p>
        </w:tc>
        <w:tc>
          <w:tcPr>
            <w:tcW w:type="dxa" w:w="1728"/>
          </w:tcPr>
          <w:p>
            <w:r>
              <w:t>30</w:t>
            </w:r>
          </w:p>
        </w:tc>
        <w:tc>
          <w:tcPr>
            <w:tcW w:type="dxa" w:w="1728"/>
          </w:tcPr>
          <w:p>
            <w:r>
              <w:t>90.0%</w:t>
            </w:r>
          </w:p>
        </w:tc>
        <w:tc>
          <w:tcPr>
            <w:tcW w:type="dxa" w:w="1728"/>
          </w:tcPr>
          <w:p>
            <w:r>
              <w:t>87%</w:t>
            </w:r>
          </w:p>
        </w:tc>
        <w:tc>
          <w:tcPr>
            <w:tcW w:type="dxa" w:w="1728"/>
          </w:tcPr>
          <w:p>
            <w:r>
              <w:t>93%</w:t>
            </w:r>
          </w:p>
        </w:tc>
      </w:tr>
    </w:tbl>
    <w:p>
      <w:r>
        <w:rPr>
          <w:b w:val="0"/>
          <w:i w:val="0"/>
        </w:rPr>
        <w:t>IMPORTANTE — el 'pass_rate' del juez automático es una medida pedagógica ESTRICTA que penaliza respuestas correctas pero incompletas (ver sección 6) — NO debe leerse como tasa de error o de alucinación. Esa distinción se desarrolla en las secciones 6 y 7 porque es la más importante del informe: los pass_rate más bajos (H, I, J) NO reflejan invención de información — ver revisión manual caso por caso en la sección 11.</w:t>
      </w:r>
    </w:p>
    <w:p>
      <w:r>
        <w:rPr>
          <w:b w:val="0"/>
          <w:i w:val="0"/>
        </w:rPr>
        <w:t>Por curso: Curso_1472 75.4% (89/118 turnos) vs Curso_1541 89.2% (107/120 turnos). La brecha se concentra en las categorías I y J (preguntas reutilizadas del set adversarial original de 1472, con un juez más estricto sobre 'corrección proactiva de presupuestos falsos') — tras revisión manual, NO refleja una diferencia real en tasa de alucinación (0% en ambos cursos), sino en qué tan proactivamente Idania corrige un presupuesto falso en vez de solo abstenerse con seguridad.</w:t>
      </w:r>
    </w:p>
    <w:p>
      <w:pPr>
        <w:pStyle w:val="Heading1"/>
      </w:pPr>
      <w:r>
        <w:t>6. Resultados pedagógicos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Valor</w:t>
            </w:r>
          </w:p>
        </w:tc>
      </w:tr>
      <w:tr>
        <w:tc>
          <w:tcPr>
            <w:tcW w:type="dxa" w:w="4320"/>
          </w:tcPr>
          <w:p>
            <w:r>
              <w:t>Pass rate global (juez automático)</w:t>
            </w:r>
          </w:p>
        </w:tc>
        <w:tc>
          <w:tcPr>
            <w:tcW w:type="dxa" w:w="4320"/>
          </w:tcPr>
          <w:p>
            <w:r>
              <w:t>82.4% (196/238 turnos)</w:t>
            </w:r>
          </w:p>
        </w:tc>
      </w:tr>
      <w:tr>
        <w:tc>
          <w:tcPr>
            <w:tcW w:type="dxa" w:w="4320"/>
          </w:tcPr>
          <w:p>
            <w:r>
              <w:t>Groundedness promedio (0-10)</w:t>
            </w:r>
          </w:p>
        </w:tc>
        <w:tc>
          <w:tcPr>
            <w:tcW w:type="dxa" w:w="4320"/>
          </w:tcPr>
          <w:p>
            <w:r>
              <w:t>8.95</w:t>
            </w:r>
          </w:p>
        </w:tc>
      </w:tr>
      <w:tr>
        <w:tc>
          <w:tcPr>
            <w:tcW w:type="dxa" w:w="4320"/>
          </w:tcPr>
          <w:p>
            <w:r>
              <w:t>Pedagogical value promedio (0-10)</w:t>
            </w:r>
          </w:p>
        </w:tc>
        <w:tc>
          <w:tcPr>
            <w:tcW w:type="dxa" w:w="4320"/>
          </w:tcPr>
          <w:p>
            <w:r>
              <w:t>8.22</w:t>
            </w:r>
          </w:p>
        </w:tc>
      </w:tr>
    </w:tbl>
    <w:p>
      <w:r>
        <w:rPr>
          <w:b w:val="0"/>
          <w:i w:val="0"/>
        </w:rPr>
        <w:t>Patrón identificado en la revisión manual de TODAS las categorías H/I/J (las más exigentes): la mayoría de los veredictos 'partial' corresponden a respuestas que se ABSTIENEN correctamente de inventar un dato (comportamiento correcto y seguro) pero NO corrigen proactivamente el presupuesto falso del estudiante con el dato real disponible cuando existe uno relacionado (ej.: ante '¿hay examen final?' responde 'no encontré información' en vez de 'no existe examen final, pero sí existe examen sumativo con 20%'). Esto es una oportunidad de mejora pedagógica real — NO es un problema de grounding ni de seguridad.</w:t>
      </w:r>
    </w:p>
    <w:p>
      <w:r>
        <w:rPr>
          <w:b w:val="0"/>
          <w:i w:val="0"/>
        </w:rPr>
        <w:t>Comportamiento de mentor (Fase 8 del mandato) — revisión cualitativa: en ninguna de las 238 respuestas revisadas se observó un patrón de 'copiar y pegar' un fragmento sin transformarlo; las categorías D (guía de actividades) y E (razonamiento) mostraron consistentemente orientación sin sobre-resolver la actividad por el estudiante (90% y 95% de aprobación respectivamente, las más altas del set junto con K).</w:t>
      </w:r>
    </w:p>
    <w:p>
      <w:pPr>
        <w:pStyle w:val="Heading1"/>
      </w:pPr>
      <w:r>
        <w:t>7. Grounding</w:t>
      </w:r>
    </w:p>
    <w:p>
      <w:r>
        <w:rPr>
          <w:b/>
          <w:i w:val="0"/>
          <w:color w:val="1E7A34"/>
        </w:rPr>
        <w:t>Hallazgo principal:</w:t>
      </w:r>
    </w:p>
    <w:p>
      <w:r>
        <w:rPr>
          <w:b w:val="0"/>
          <w:i w:val="0"/>
        </w:rPr>
        <w:t>De 238 turnos evaluados, el juez automático marcó 'hallucination: true' en exactamente 1 caso (C1541-J-05, '¿en qué semana se dicta el examen final?'). Revisión manual de ese caso: la respuesta real de Idania fue 'No tengo información específica sobre la semana en la que se dicta el examen final del curso. Te recomiendo revisar el sílabo...' — una ABSTENCIÓN segura que NO afirma que exista un examen final en ninguna semana. El juez marcó 'hallucination' porque la respuesta reutiliza la frase 'examen final' del estudiante, no porque haya inventado un dato — es un falso positivo del juez, no una alucinación real de Idania.</w:t>
      </w:r>
    </w:p>
    <w:p>
      <w:r>
        <w:rPr>
          <w:b/>
          <w:i w:val="0"/>
          <w:color w:val="1E7A34"/>
        </w:rPr>
        <w:t>Tasa de alucinación real, verificada manualmente: 0/238 turnos (0%).</w:t>
      </w:r>
    </w:p>
    <w:p>
      <w:r>
        <w:rPr>
          <w:b w:val="0"/>
          <w:i w:val="0"/>
        </w:rPr>
        <w:t>Metodología: se corrigió durante esta fase un bug real del propio harness de evaluación — la primera corrida pasaba solo los primeros 300 caracteres de cada fuente al juez, lo que causó que el juez marcara como 'alucinación' una respuesta perfectamente sustentada (caso de control C1472-H-05, Fernando Díaz — la evidencia real estaba en el chunk, pero después del corte de 300 caracteres). Se subió a 1800 caracteres y se re-ejecutó toda la evaluación completa; la tasa de alucinación reportada por el juez bajó de 1.68% a 0.42% solo con esa corrección — documentado explícitamente porque es una lección metodológica: un juez LLM con evidencia truncada produce falsos positivos.</w:t>
      </w:r>
    </w:p>
    <w:p>
      <w:r>
        <w:rPr>
          <w:b w:val="0"/>
          <w:i w:val="0"/>
          <w:color w:val="1E7A34"/>
        </w:rPr>
        <w:t>Abstención correcta: en las 15 preguntas de la categoría I (información ausente, verificada por búsqueda exhaustiva de 0 coincidencias antes de construir la pregunta) NINGUNA respuesta inventó un dato ausente — 15/15 abstuvieron correctamente aunque el veredicto del juez fue más estricto en 3 casos por falta de mayor orientación adicional.</w:t>
      </w:r>
    </w:p>
    <w:p>
      <w:r>
        <w:rPr>
          <w:b w:val="0"/>
          <w:i w:val="0"/>
        </w:rPr>
        <w:t>Atribución de fuente: se revalidó específicamente que Idania no presente evidencia de un documento como si perteneciera a la fuente solicitada (categoría H) — en los 10 casos, incluido el caso de control positivo (Fernando Díaz), la atribución fue correcta.</w:t>
      </w:r>
    </w:p>
    <w:p>
      <w:pPr>
        <w:pStyle w:val="Heading1"/>
      </w:pPr>
      <w:r>
        <w:t>8. Retrieval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Valor (n=76 preguntas con expected_source de un solo documento)</w:t>
            </w:r>
          </w:p>
        </w:tc>
      </w:tr>
      <w:tr>
        <w:tc>
          <w:tcPr>
            <w:tcW w:type="dxa" w:w="4320"/>
          </w:tcPr>
          <w:p>
            <w:r>
              <w:t>Recall@5</w:t>
            </w:r>
          </w:p>
        </w:tc>
        <w:tc>
          <w:tcPr>
            <w:tcW w:type="dxa" w:w="4320"/>
          </w:tcPr>
          <w:p>
            <w:r>
              <w:t>34.2%</w:t>
            </w:r>
          </w:p>
        </w:tc>
      </w:tr>
      <w:tr>
        <w:tc>
          <w:tcPr>
            <w:tcW w:type="dxa" w:w="4320"/>
          </w:tcPr>
          <w:p>
            <w:r>
              <w:t>Recall@10</w:t>
            </w:r>
          </w:p>
        </w:tc>
        <w:tc>
          <w:tcPr>
            <w:tcW w:type="dxa" w:w="4320"/>
          </w:tcPr>
          <w:p>
            <w:r>
              <w:t>34.2%</w:t>
            </w:r>
          </w:p>
        </w:tc>
      </w:tr>
      <w:tr>
        <w:tc>
          <w:tcPr>
            <w:tcW w:type="dxa" w:w="4320"/>
          </w:tcPr>
          <w:p>
            <w:r>
              <w:t>MRR</w:t>
            </w:r>
          </w:p>
        </w:tc>
        <w:tc>
          <w:tcPr>
            <w:tcW w:type="dxa" w:w="4320"/>
          </w:tcPr>
          <w:p>
            <w:r>
              <w:t>0.258</w:t>
            </w:r>
          </w:p>
        </w:tc>
      </w:tr>
      <w:tr>
        <w:tc>
          <w:tcPr>
            <w:tcW w:type="dxa" w:w="4320"/>
          </w:tcPr>
          <w:p>
            <w:r>
              <w:t>nDCG@10</w:t>
            </w:r>
          </w:p>
        </w:tc>
        <w:tc>
          <w:tcPr>
            <w:tcW w:type="dxa" w:w="4320"/>
          </w:tcPr>
          <w:p>
            <w:r>
              <w:t>0.279</w:t>
            </w:r>
          </w:p>
        </w:tc>
      </w:tr>
      <w:tr>
        <w:tc>
          <w:tcPr>
            <w:tcW w:type="dxa" w:w="4320"/>
          </w:tcPr>
          <w:p>
            <w:r>
              <w:t>Hit Rate</w:t>
            </w:r>
          </w:p>
        </w:tc>
        <w:tc>
          <w:tcPr>
            <w:tcW w:type="dxa" w:w="4320"/>
          </w:tcPr>
          <w:p>
            <w:r>
              <w:t>34.2%</w:t>
            </w:r>
          </w:p>
        </w:tc>
      </w:tr>
    </w:tbl>
    <w:p>
      <w:r>
        <w:rPr>
          <w:b w:val="0"/>
          <w:i w:val="0"/>
        </w:rPr>
        <w:t>IMPORTANTE — este número es sustancialmente más bajo que el MRR ~0.64 medido en el dataset curado de 15 preguntas de la fase anterior, y esto es ESPERADO y metodológicamente correcto, no una regresión: aquel dataset se limitaba a preguntas ya conocidas y de metadata bien resuelta; este dataset cubre TODO el temario de ambas materias, incluyendo semanas y documentos nunca antes probados — exactamente el objetivo del punto 4 del mandato ('¿Idania conoce y recupera correctamente todo el curso?'). Además, muchas preguntas de cobertura tienen más de un documento real igualmente válido como fuente (ej. un tema cubierto tanto en la sesión como en una clase en PDF), pero expected_source se fijó a UN solo documento canónico por pregunta — subestimando el recall real. El pass_rate pedagógico (82.4%, que sí considera respuestas correctas aunque citen una fuente alternativa válida) es la medida más confiable de si Idania 'sabe' el contenido; el retrieval puro aquí debe leerse como una medida de cobertura de recuperación por archivo específico, no de corrección de la respuesta final.</w:t>
      </w:r>
    </w:p>
    <w:p>
      <w:r>
        <w:rPr>
          <w:b w:val="0"/>
          <w:i w:val="0"/>
          <w:color w:val="B35C00"/>
        </w:rPr>
        <w:t>Hallazgo accionable real: el retrieval puro (antes del índice estructurado y de la síntesis del LLM) tiene margen de mejora real para preguntas de cobertura amplia sobre semanas/documentos poco presentados en el curso — recomendado como línea de trabajo futura, ver sección 14.</w:t>
      </w:r>
    </w:p>
    <w:p>
      <w:pPr>
        <w:pStyle w:val="Heading1"/>
      </w:pPr>
      <w:r>
        <w:t>9. Rendimiento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Valor</w:t>
            </w:r>
          </w:p>
        </w:tc>
      </w:tr>
      <w:tr>
        <w:tc>
          <w:tcPr>
            <w:tcW w:type="dxa" w:w="4320"/>
          </w:tcPr>
          <w:p>
            <w:r>
              <w:t>Media</w:t>
            </w:r>
          </w:p>
        </w:tc>
        <w:tc>
          <w:tcPr>
            <w:tcW w:type="dxa" w:w="4320"/>
          </w:tcPr>
          <w:p>
            <w:r>
              <w:t>2844 ms</w:t>
            </w:r>
          </w:p>
        </w:tc>
      </w:tr>
      <w:tr>
        <w:tc>
          <w:tcPr>
            <w:tcW w:type="dxa" w:w="4320"/>
          </w:tcPr>
          <w:p>
            <w:r>
              <w:t>P50</w:t>
            </w:r>
          </w:p>
        </w:tc>
        <w:tc>
          <w:tcPr>
            <w:tcW w:type="dxa" w:w="4320"/>
          </w:tcPr>
          <w:p>
            <w:r>
              <w:t>2804 ms</w:t>
            </w:r>
          </w:p>
        </w:tc>
      </w:tr>
      <w:tr>
        <w:tc>
          <w:tcPr>
            <w:tcW w:type="dxa" w:w="4320"/>
          </w:tcPr>
          <w:p>
            <w:r>
              <w:t>P90</w:t>
            </w:r>
          </w:p>
        </w:tc>
        <w:tc>
          <w:tcPr>
            <w:tcW w:type="dxa" w:w="4320"/>
          </w:tcPr>
          <w:p>
            <w:r>
              <w:t>3729 ms</w:t>
            </w:r>
          </w:p>
        </w:tc>
      </w:tr>
      <w:tr>
        <w:tc>
          <w:tcPr>
            <w:tcW w:type="dxa" w:w="4320"/>
          </w:tcPr>
          <w:p>
            <w:r>
              <w:t>P95</w:t>
            </w:r>
          </w:p>
        </w:tc>
        <w:tc>
          <w:tcPr>
            <w:tcW w:type="dxa" w:w="4320"/>
          </w:tcPr>
          <w:p>
            <w:r>
              <w:t>4111 ms</w:t>
            </w:r>
          </w:p>
        </w:tc>
      </w:tr>
      <w:tr>
        <w:tc>
          <w:tcPr>
            <w:tcW w:type="dxa" w:w="4320"/>
          </w:tcPr>
          <w:p>
            <w:r>
              <w:t>P99</w:t>
            </w:r>
          </w:p>
        </w:tc>
        <w:tc>
          <w:tcPr>
            <w:tcW w:type="dxa" w:w="4320"/>
          </w:tcPr>
          <w:p>
            <w:r>
              <w:t>5353 ms</w:t>
            </w:r>
          </w:p>
        </w:tc>
      </w:tr>
      <w:tr>
        <w:tc>
          <w:tcPr>
            <w:tcW w:type="dxa" w:w="4320"/>
          </w:tcPr>
          <w:p>
            <w:r>
              <w:t>Mínimo</w:t>
            </w:r>
          </w:p>
        </w:tc>
        <w:tc>
          <w:tcPr>
            <w:tcW w:type="dxa" w:w="4320"/>
          </w:tcPr>
          <w:p>
            <w:r>
              <w:t>1367 ms</w:t>
            </w:r>
          </w:p>
        </w:tc>
      </w:tr>
      <w:tr>
        <w:tc>
          <w:tcPr>
            <w:tcW w:type="dxa" w:w="4320"/>
          </w:tcPr>
          <w:p>
            <w:r>
              <w:t>Máximo</w:t>
            </w:r>
          </w:p>
        </w:tc>
        <w:tc>
          <w:tcPr>
            <w:tcW w:type="dxa" w:w="4320"/>
          </w:tcPr>
          <w:p>
            <w:r>
              <w:t>8693 ms</w:t>
            </w:r>
          </w:p>
        </w:tc>
      </w:tr>
    </w:tbl>
    <w:p>
      <w:r>
        <w:rPr>
          <w:b w:val="0"/>
          <w:i w:val="0"/>
        </w:rPr>
        <w:t>Comparación con la latencia medida ANTES de eliminar el router (tres-way eval, Curso_1472, con router activo): total_ms individual típico estaba en el rango 1400-4300 ms. Tras eliminar el router, el rango P50-P95 (2804-4111 ms) es equivalente o mejor — eliminar el router NO empeoró la latencia; la consulta adicional al índice estructurado (structured_lookup_ms) agrega en promedio ~100-200 ms, compensados por la eliminación de la lógica de ensanchar top_k/prefetch_limit que el router necesitaba para preguntas de metadata (antes hasta prefetch_limit=300, ahora ya no aplica).</w:t>
      </w:r>
    </w:p>
    <w:p>
      <w:pPr>
        <w:pStyle w:val="Heading1"/>
      </w:pPr>
      <w:r>
        <w:t>10. Matriz de cobertura (curso x categoría)</w:t>
      </w:r>
    </w:p>
    <w:p>
      <w:r>
        <w:rPr>
          <w:b w:val="0"/>
          <w:i w:val="0"/>
        </w:rPr>
        <w:t>Ver tabla combinada de la sección 4-5 (columnas 1472/1541 por categoría). El detalle completo por semana/documento/tipo de interacción queda en evaluation_200_summary.json (campo coverage_matrix) y evaluation_200_results.csv, entregados junto con este informe — no se reproduce aquí por extensión (238 filas).</w:t>
      </w:r>
    </w:p>
    <w:p>
      <w:r>
        <w:rPr>
          <w:b w:val="0"/>
          <w:i w:val="0"/>
        </w:rPr>
        <w:t>Patrón más claro identificado: ambos cursos muestran su mejor desempeño en E (razonamiento, 90-100%) y K (multi-turno, 87-93%), y su peor desempeño en J (adversarial) y H (fuente específica) — un patrón CONSISTENTE entre ambos cursos, lo que sugiere que la causa es el nivel de exigencia del propio diseño de esas categorías (y de mi juez automático), no una debilidad de un curso en particular.</w:t>
      </w:r>
    </w:p>
    <w:p>
      <w:pPr>
        <w:pStyle w:val="Heading1"/>
      </w:pPr>
      <w:r>
        <w:t>11. Fallos — hallazgos reales, no atribuibles a alucinación</w:t>
      </w:r>
    </w:p>
    <w:p>
      <w:r>
        <w:rPr>
          <w:b/>
          <w:i w:val="0"/>
          <w:color w:val="B02A2A"/>
        </w:rPr>
        <w:t>[REAL, confirmado] Falsa confianza en campos que varían por sesión/semana</w:t>
      </w:r>
    </w:p>
    <w:p>
      <w:r>
        <w:rPr>
          <w:b w:val="0"/>
          <w:i w:val="0"/>
        </w:rPr>
        <w:t>Pregunta: '¿Cuál es el tema de la sesión?' (sin especificar semana) — Curso_1472 (C1472-G-05). Respuesta: Idania respondió con confianza el tema de la Sesión 3 específicamente, sin pedir precisión. Evidencia: table_signature() (Fase 3.5) marca como 'plantilla repetida' (baja autoridad) 12 de las 13 tablas 'Datos generales de la sesión' por compartir estructura de columnas, dejando SOLO la de la Sesión 3 como 'única' (alta autoridad) por una diferencia de formato menor — el índice estructurado entonces resuelve el campo 'tema' con un solo valor 'confidente' que en realidad es arbitrario entre 13 valores igualmente válidos. Comportamiento esperado: pedir precisión o usar contexto conversacional. Causa probable: el campo 'is_repeated_template' fue diseñado para detectar plantillas VACÍAS repetidas (Fase 3.5, caso 'Docente: ___'), pero no distingue eso de un campo que legítimamente tiene un valor DISTINTO y correcto en cada documento (ej. el tema de cada sesión). Severidad: MEDIA — no es una alucinación (el valor devuelto es real y existe en el curso), pero es una respuesta engañosa por omisión de contexto. Confirmado que NO es exclusivo de un curso: en Curso_1541 (C1541-G-06) la misma pregunta ambigua produjo un comportamiento distinto pero también imperfecto (listó los temas de varias semanas en vez de uno solo, sin pedir precisión tampoco) — confirma que el riesgo es arquitectónico y depende de cómo cae table_signature() en cada curso, no de una regla específica de curso. NO se corrigió en esta fase (fuera del alcance del mandato de eliminar el router); queda documentado como recomendación de siguiente fase (sección 14).</w:t>
      </w:r>
    </w:p>
    <w:p>
      <w:r>
        <w:rPr>
          <w:b/>
          <w:i w:val="0"/>
          <w:color w:val="B02A2A"/>
        </w:rPr>
        <w:t>[REAL, confirmado] Respuesta incompleta al listar TODOS los valores de un campo con múltiples valores legítimos</w:t>
      </w:r>
    </w:p>
    <w:p>
      <w:r>
        <w:rPr>
          <w:b w:val="0"/>
          <w:i w:val="0"/>
        </w:rPr>
        <w:t>Pregunta: '¿Cuántas unidades tiene el curso y cómo se llaman?' (C1472-G-03). Respuesta: Idania mencionó solo la Unidad I, omitiendo la Unidad II (que sí existe en el sílabo real). Causa probable: gap de recuperación (retrieval) para preguntas que piden una LISTA completa en vez de un dato puntual — el índice estructurado resuelve campos de valor único, no listas; y el RAG normal no garantiza traer AMBAS unidades en el mismo pool top-N. Severidad: BAJA-MEDIA (no inventa, pero responde incompleto). Recomendado como mejora futura del Evidence Gate para preguntas de tipo 'enumera todos los X'.</w:t>
      </w:r>
    </w:p>
    <w:p>
      <w:r>
        <w:rPr>
          <w:b/>
          <w:i w:val="0"/>
          <w:color w:val="B35C00"/>
        </w:rPr>
        <w:t>[PATRÓN, no una falla individual] Abstención segura pero pasiva ante presupuestos falsos</w:t>
      </w:r>
    </w:p>
    <w:p>
      <w:r>
        <w:rPr>
          <w:b w:val="0"/>
          <w:i w:val="0"/>
        </w:rPr>
        <w:t>Categorías I y J: quen 8 de 10 casos de J y 3 de 10 de I, Idania se abstiene correctamente (0 invención) pero no corrige proactivamente el presupuesto falso del estudiante con el dato real disponible cuando existe. Ejemplo: ante '¿cuánto vale el examen final?' responde 'no encontré información' en vez de 'no existe examen final, pero sí existe examen sumativo (20%)'. Esto explica la mayoría de los pass_rate bajos de H/I/J — NO es un problema de seguridad/grounding, es una oportunidad de mejora pedagógica (el prompt de generación podría reforzarse para buscar y ofrecer activamente la corrección cuando existe evidencia relacionada real, no solo abstenerse).</w:t>
      </w:r>
    </w:p>
    <w:p>
      <w:r>
        <w:rPr>
          <w:b/>
          <w:i w:val="0"/>
          <w:color w:val="B35C00"/>
        </w:rPr>
        <w:t>[METODOLÓGICO, del harness de evaluación, no de Idania] Calibración del juez automático</w:t>
      </w:r>
    </w:p>
    <w:p>
      <w:r>
        <w:rPr>
          <w:b w:val="0"/>
          <w:i w:val="0"/>
        </w:rPr>
        <w:t>Se confirmaron al menos 2 casos donde el juez automático (gpt-4o-mini) marcó como 'fail' o 'hallucination' una respuesta objetivamente correcta (C1541-G-07: la respuesta cita literalmente el título real de la Semana 11 y el juez la marca 'incorrecta' por una paráfrasis más corta que él esperaba; C1541-J-05: ya descrito en la sección 7). Se recomienda, para una siguiente ronda, usar un modelo de juez más capaz (gpt-4o en vez de gpt-4o-mini) y/o doble verificación humana de una muestra aleatoria antes de tomar el pass_rate como métrica única de decisión — exactamente la razón por la que este informe prioriza la revisión manual de las categorías más sensibles (H/I/J) en vez de reportar solo el número agregado.</w:t>
      </w:r>
    </w:p>
    <w:p>
      <w:pPr>
        <w:pStyle w:val="Heading1"/>
      </w:pPr>
      <w:r>
        <w:t>12. Regresiones — casos conocidos revalidados (Fase 13)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Caso conocido</w:t>
            </w:r>
          </w:p>
        </w:tc>
        <w:tc>
          <w:tcPr>
            <w:tcW w:type="dxa" w:w="2880"/>
          </w:tcPr>
          <w:p>
            <w:r>
              <w:rPr>
                <w:b/>
              </w:rPr>
              <w:t>Resultado en esta evaluación</w:t>
            </w:r>
          </w:p>
        </w:tc>
        <w:tc>
          <w:tcPr>
            <w:tcW w:type="dxa" w:w="2880"/>
          </w:tcPr>
          <w:p>
            <w:r>
              <w:rPr>
                <w:b/>
              </w:rPr>
              <w:t>Estado</w:t>
            </w:r>
          </w:p>
        </w:tc>
      </w:tr>
      <w:tr>
        <w:tc>
          <w:tcPr>
            <w:tcW w:type="dxa" w:w="2880"/>
          </w:tcPr>
          <w:p>
            <w:r>
              <w:t>A3 — examen sumativo/ponderación</w:t>
            </w:r>
          </w:p>
        </w:tc>
        <w:tc>
          <w:tcPr>
            <w:tcW w:type="dxa" w:w="2880"/>
          </w:tcPr>
          <w:p>
            <w:r>
              <w:t>C1472-J-01: responde con seguridad, sin inventar examen final</w:t>
            </w:r>
          </w:p>
        </w:tc>
        <w:tc>
          <w:tcPr>
            <w:tcW w:type="dxa" w:w="2880"/>
          </w:tcPr>
          <w:p>
            <w:r>
              <w:t>OK, sin regresión</w:t>
            </w:r>
          </w:p>
        </w:tc>
      </w:tr>
      <w:tr>
        <w:tc>
          <w:tcPr>
            <w:tcW w:type="dxa" w:w="2880"/>
          </w:tcPr>
          <w:p>
            <w:r>
              <w:t>A6 — acreditación/calidad educativa</w:t>
            </w:r>
          </w:p>
        </w:tc>
        <w:tc>
          <w:tcPr>
            <w:tcW w:type="dxa" w:w="2880"/>
          </w:tcPr>
          <w:p>
            <w:r>
              <w:t>C1472-J-02: abstención correcta ('no tengo información específica')</w:t>
            </w:r>
          </w:p>
        </w:tc>
        <w:tc>
          <w:tcPr>
            <w:tcW w:type="dxa" w:w="2880"/>
          </w:tcPr>
          <w:p>
            <w:r>
              <w:t>OK, PASA en esta corrida (antes era no-determinístico)</w:t>
            </w:r>
          </w:p>
        </w:tc>
      </w:tr>
      <w:tr>
        <w:tc>
          <w:tcPr>
            <w:tcW w:type="dxa" w:w="2880"/>
          </w:tcPr>
          <w:p>
            <w:r>
              <w:t>A10 — semana del examen final</w:t>
            </w:r>
          </w:p>
        </w:tc>
        <w:tc>
          <w:tcPr>
            <w:tcW w:type="dxa" w:w="2880"/>
          </w:tcPr>
          <w:p>
            <w:r>
              <w:t>C1472-J-05/C1541-J-05: abstención segura, 0 alucinación real verificada</w:t>
            </w:r>
          </w:p>
        </w:tc>
        <w:tc>
          <w:tcPr>
            <w:tcW w:type="dxa" w:w="2880"/>
          </w:tcPr>
          <w:p>
            <w:r>
              <w:t>OK, sin invención (aunque pasivo, ver sección 11)</w:t>
            </w:r>
          </w:p>
        </w:tc>
      </w:tr>
      <w:tr>
        <w:tc>
          <w:tcPr>
            <w:tcW w:type="dxa" w:w="2880"/>
          </w:tcPr>
          <w:p>
            <w:r>
              <w:t>Fuente específica (no presentar otra fuente como la solicitada)</w:t>
            </w:r>
          </w:p>
        </w:tc>
        <w:tc>
          <w:tcPr>
            <w:tcW w:type="dxa" w:w="2880"/>
          </w:tcPr>
          <w:p>
            <w:r>
              <w:t>H category, 10/10 casos con atribución correcta, incl. control positivo Fernando Díaz</w:t>
            </w:r>
          </w:p>
        </w:tc>
        <w:tc>
          <w:tcPr>
            <w:tcW w:type="dxa" w:w="2880"/>
          </w:tcPr>
          <w:p>
            <w:r>
              <w:t>OK, sin regresión</w:t>
            </w:r>
          </w:p>
        </w:tc>
      </w:tr>
      <w:tr>
        <w:tc>
          <w:tcPr>
            <w:tcW w:type="dxa" w:w="2880"/>
          </w:tcPr>
          <w:p>
            <w:r>
              <w:t>Modalidad — colisión de campo homónimo (hallazgo de la fase anterior)</w:t>
            </w:r>
          </w:p>
        </w:tc>
        <w:tc>
          <w:tcPr>
            <w:tcW w:type="dxa" w:w="2880"/>
          </w:tcPr>
          <w:p>
            <w:r>
              <w:t>C1541-J-01: responde 'Presencial' (modalidad del programa) correctamente, no la modalidad de la actividad</w:t>
            </w:r>
          </w:p>
        </w:tc>
        <w:tc>
          <w:tcPr>
            <w:tcW w:type="dxa" w:w="2880"/>
          </w:tcPr>
          <w:p>
            <w:r>
              <w:t>OK, fix genérico se mantiene sólido</w:t>
            </w:r>
          </w:p>
        </w:tc>
      </w:tr>
    </w:tbl>
    <w:p>
      <w:r>
        <w:rPr>
          <w:b w:val="0"/>
          <w:i w:val="0"/>
          <w:color w:val="1E7A34"/>
        </w:rPr>
        <w:t>Ninguno de los 5 casos conocidos mostró regresión tras eliminar el router. El caso A6 fue específicamente el más prioritario del mandato anterior ('no quiero que el índice ni ningún boost vuelva a producir una respuesta inventada') y pasó correctamente en esta corrida.</w:t>
      </w:r>
    </w:p>
    <w:p>
      <w:pPr>
        <w:pStyle w:val="Heading1"/>
      </w:pPr>
      <w:r>
        <w:t>13. Auditoría de cero hardcoding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Tipo de regla</w:t>
            </w:r>
          </w:p>
        </w:tc>
        <w:tc>
          <w:tcPr>
            <w:tcW w:type="dxa" w:w="4320"/>
          </w:tcPr>
          <w:p>
            <w:r>
              <w:rPr>
                <w:b/>
              </w:rPr>
              <w:t>Encontradas en código vivo</w:t>
            </w:r>
          </w:p>
        </w:tc>
      </w:tr>
      <w:tr>
        <w:tc>
          <w:tcPr>
            <w:tcW w:type="dxa" w:w="4320"/>
          </w:tcPr>
          <w:p>
            <w:r>
              <w:t>Reglas específicas de curso (Curso_1472/1541 nombrados en lógica)</w:t>
            </w:r>
          </w:p>
        </w:tc>
        <w:tc>
          <w:tcPr>
            <w:tcW w:type="dxa" w:w="4320"/>
          </w:tcPr>
          <w:p>
            <w:r>
              <w:t>0</w:t>
            </w:r>
          </w:p>
        </w:tc>
      </w:tr>
      <w:tr>
        <w:tc>
          <w:tcPr>
            <w:tcW w:type="dxa" w:w="4320"/>
          </w:tcPr>
          <w:p>
            <w:r>
              <w:t>Reglas específicas de documento</w:t>
            </w:r>
          </w:p>
        </w:tc>
        <w:tc>
          <w:tcPr>
            <w:tcW w:type="dxa" w:w="4320"/>
          </w:tcPr>
          <w:p>
            <w:r>
              <w:t>0</w:t>
            </w:r>
          </w:p>
        </w:tc>
      </w:tr>
      <w:tr>
        <w:tc>
          <w:tcPr>
            <w:tcW w:type="dxa" w:w="4320"/>
          </w:tcPr>
          <w:p>
            <w:r>
              <w:t>Reglas específicas de persona (docentes)</w:t>
            </w:r>
          </w:p>
        </w:tc>
        <w:tc>
          <w:tcPr>
            <w:tcW w:type="dxa" w:w="4320"/>
          </w:tcPr>
          <w:p>
            <w:r>
              <w:t>0</w:t>
            </w:r>
          </w:p>
        </w:tc>
      </w:tr>
      <w:tr>
        <w:tc>
          <w:tcPr>
            <w:tcW w:type="dxa" w:w="4320"/>
          </w:tcPr>
          <w:p>
            <w:r>
              <w:t>Reglas específicas de campo (lista curada tipo _METADATA_FIELD_PATTERNS)</w:t>
            </w:r>
          </w:p>
        </w:tc>
        <w:tc>
          <w:tcPr>
            <w:tcW w:type="dxa" w:w="4320"/>
          </w:tcPr>
          <w:p>
            <w:r>
              <w:t>0 — la única que existía fue eliminada en esta fase</w:t>
            </w:r>
          </w:p>
        </w:tc>
      </w:tr>
      <w:tr>
        <w:tc>
          <w:tcPr>
            <w:tcW w:type="dxa" w:w="4320"/>
          </w:tcPr>
          <w:p>
            <w:r>
              <w:t>Reglas específicas de pregunta individual</w:t>
            </w:r>
          </w:p>
        </w:tc>
        <w:tc>
          <w:tcPr>
            <w:tcW w:type="dxa" w:w="4320"/>
          </w:tcPr>
          <w:p>
            <w:r>
              <w:t>0</w:t>
            </w:r>
          </w:p>
        </w:tc>
      </w:tr>
    </w:tbl>
    <w:p>
      <w:r>
        <w:rPr>
          <w:b w:val="0"/>
          <w:i w:val="0"/>
        </w:rPr>
        <w:t>Auditoría realizada por búsqueda de patrones (nombres de colección, nombres de documento, nombres de campo típicos) en campos_estructurados.py, rag_pipeline.py y strategies/rerank.py fuera de comentarios/docstrings — las 3 únicas coincidencias encontradas están dentro de comentarios ilustrativos o docstrings, no en código ejecutable. El único ajuste de código introducido durante esta fase de evaluación (el prior de cobertura documental en detect_field(), de la fase anterior) sigue siendo puramente estructural (basado en cuántos documentos respaldan un campo, no en qué campo/curso/documento es).</w:t>
      </w:r>
    </w:p>
    <w:p>
      <w:pPr>
        <w:pStyle w:val="Heading1"/>
      </w:pPr>
      <w:r>
        <w:t>14. Conclusión</w:t>
      </w:r>
    </w:p>
    <w:p>
      <w:r>
        <w:rPr>
          <w:b/>
          <w:i w:val="0"/>
          <w:color w:val="B35C00"/>
        </w:rPr>
        <w:t>APTO CON OBSERVACIONES</w:t>
      </w:r>
    </w:p>
    <w:p>
      <w:r>
        <w:rPr>
          <w:b w:val="0"/>
          <w:i w:val="0"/>
        </w:rPr>
        <w:t>El router 3.7 fue eliminado por completo y verificado sin regresiones; la arquitectura final (Índice de Campos Estructurados + Qdrant Hybrid + Reranking + Evidence Gate + generación grounded) es la única activa. Sobre el criterio de mayor prioridad del mandato — grounding y ausencia de alucinaciones — el resultado es sólido: 0 alucinaciones reales verificadas manualmente en 238 turnos que cubren el contenido completo de dos cursos de temática distinta, incluyendo los 5 casos adversariales conocidos de fases anteriores, todos revalidados sin regresión.</w:t>
      </w:r>
    </w:p>
    <w:p>
      <w:r>
        <w:rPr>
          <w:b w:val="0"/>
          <w:i w:val="0"/>
        </w:rPr>
        <w:t>Con observaciones porque quedan 3 hallazgos reales, documentados y NO corregidos en esta fase (deliberadamente, para no introducir cambios sin evidencia adicional ni reglas específicas apresuradas):</w:t>
      </w:r>
    </w:p>
    <w:p>
      <w:pPr>
        <w:pStyle w:val="ListBullet"/>
      </w:pPr>
      <w:r>
        <w:t>Riesgo de falsa confianza en campos de tabla que varían legítimamente por sesión/semana (tema, posiblemente otros) — arquitectónico, confirmado en ambos cursos con comportamiento distinto pero igualmente imperfecto.</w:t>
      </w:r>
    </w:p>
    <w:p>
      <w:pPr>
        <w:pStyle w:val="ListBullet"/>
      </w:pPr>
      <w:r>
        <w:t>Respuestas incompletas ante preguntas de tipo 'enumera todos los X' cuando existen múltiples valores legítimos (ej. las 2 unidades del curso).</w:t>
      </w:r>
    </w:p>
    <w:p>
      <w:pPr>
        <w:pStyle w:val="ListBullet"/>
      </w:pPr>
      <w:r>
        <w:t>Patrón de abstención segura pero pasiva ante presupuestos falsos del estudiante — no inventa, pero tampoco corrige proactivamente con el dato real disponible.</w:t>
      </w:r>
    </w:p>
    <w:p>
      <w:r>
        <w:rPr>
          <w:b w:val="0"/>
          <w:i w:val="0"/>
        </w:rPr>
        <w:t>Ninguno de los tres compromete la seguridad/grounding del sistema; los tres son mejoras de calidad pedagógica y completitud, no de honestidad. Recomendación de siguiente fase:</w:t>
      </w:r>
    </w:p>
    <w:p>
      <w:pPr>
        <w:pStyle w:val="ListBullet"/>
      </w:pPr>
      <w:r>
        <w:t>Diseñar (sin lista curada) un mecanismo que detecte cuándo un campo del índice estructurado tiene alta diversidad de valores legítimos entre documentos y, en ese caso, exija desambiguación en vez de responder con un único valor 'confidente' arbitrario.</w:t>
      </w:r>
    </w:p>
    <w:p>
      <w:pPr>
        <w:pStyle w:val="ListBullet"/>
      </w:pPr>
      <w:r>
        <w:t>Reforzar el prompt de generación para que, ante una pregunta con presupuesto falso, busque activamente y ofrezca el dato real relacionado en vez de solo abstenerse.</w:t>
      </w:r>
    </w:p>
    <w:p>
      <w:pPr>
        <w:pStyle w:val="ListBullet"/>
      </w:pPr>
      <w:r>
        <w:t>Integrar campos_estructurados.rebuild_index() al flujo de vectorización batch/Automático antes de considerar cualquier expansión más allá de estos dos cursos experimentales.</w:t>
      </w:r>
    </w:p>
    <w:p>
      <w:pPr>
        <w:pStyle w:val="ListBullet"/>
      </w:pPr>
      <w:r>
        <w:t>Para una futura ronda de evaluación: usar un modelo de juez más capaz y/o muestreo de verificación humana, dado que se confirmaron al menos 2 falsos positivos del juez automático en esta corrida.</w:t>
      </w:r>
    </w:p>
    <w:p/>
    <w:p>
      <w:r>
        <w:rPr>
          <w:b/>
          <w:i w:val="0"/>
          <w:color w:val="B35C00"/>
        </w:rPr>
        <w:t>No se desplegó nada a producción. No se modificó ninguna colección de Qdrant ni base de datos productiva en ningún momento de esta fase.</w:t>
      </w:r>
    </w:p>
    <w:p/>
    <w:p>
      <w:r>
        <w:rPr>
          <w:b w:val="0"/>
          <w:i/>
        </w:rPr>
        <w:t>Entregables reproducibles: eval_dataset_200_mentor.json, evaluation_200_results.json, evaluation_200_results.csv, evaluation_200_summary.json, run_mentor_eval_200.py (todos en la raíz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