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Índice de Campos Estructurados</w:t>
      </w:r>
    </w:p>
    <w:p>
      <w:r>
        <w:rPr>
          <w:b w:val="0"/>
          <w:i/>
        </w:rPr>
        <w:t>Reemplazo genérico del router de metadata (Fase 3.7) — informe final del experimento</w:t>
      </w:r>
    </w:p>
    <w:p>
      <w:r>
        <w:rPr>
          <w:b w:val="0"/>
          <w:i/>
        </w:rPr>
        <w:t>Curso_1472 (Introducción a la Odontología) y Curso_1541 (Filosofía de la Educación) — ambos en colecciones EXPERIMENTALES de desarrollo. Ningún dato de producción fue tocado.</w:t>
      </w:r>
    </w:p>
    <w:p/>
    <w:p>
      <w:r>
        <w:rPr>
          <w:b/>
          <w:i w:val="0"/>
        </w:rPr>
        <w:t>Resumen ejecutivo</w:t>
      </w:r>
    </w:p>
    <w:p>
      <w:r>
        <w:rPr>
          <w:b w:val="0"/>
          <w:i w:val="0"/>
        </w:rPr>
        <w:t>El router de metadata de la Fase 3.7 (_METADATA_FIELD_PATTERNS) funcionaba, pero dependía de una lista de 9 patrones regex curados a mano — no generalizaba a un campo o curso nuevo sin que un desarrollador agregara código. Se diseñó, implementó y validó un mecanismo alternativo: un índice de campos estructurados que descubre automáticamente qué campos existen en las tablas de CADA colección (sin lista fija) y responde con una jerarquía de evidencia trazable, nunca por mayoría de valores.</w:t>
      </w:r>
    </w:p>
    <w:p>
      <w:r>
        <w:rPr>
          <w:b w:val="0"/>
          <w:i w:val="0"/>
        </w:rPr>
        <w:t>Resultado: sobre el dataset de 25 preguntas de Curso_1472, el índice estructurado IGUALA al router 3.7 en todas las métricas cuantitativas (Recall@5, MRR, cobertura de keywords, cita de fuente esperada, abstención correcta, 0 alucinaciones nuevas en el set adversarial) con 0 reglas específicas de curso/documento/campo, frente a las 9 reglas curadas del router anterior. Al probarlo contra un curso completamente distinto (Curso_1541, sin ninguna línea de código nueva) se descubrió y corrigió UN bug genérico real (colisión de nombres de campo homónimos con distinto alcance semántico) — ver punto 9 y 12.</w:t>
      </w:r>
    </w:p>
    <w:p>
      <w:pPr>
        <w:pStyle w:val="Heading1"/>
      </w:pPr>
      <w:r>
        <w:t>1-2. Archivos modificados y nuevos</w:t>
      </w:r>
    </w:p>
    <w:p>
      <w:r>
        <w:rPr>
          <w:b/>
          <w:i w:val="0"/>
        </w:rPr>
        <w:t>Nuevos:</w:t>
      </w:r>
    </w:p>
    <w:p>
      <w:pPr>
        <w:pStyle w:val="ListBullet"/>
      </w:pPr>
      <w:r>
        <w:rPr>
          <w:b/>
        </w:rPr>
        <w:t xml:space="preserve">campos_estructurados.py — </w:t>
      </w:r>
      <w:r>
        <w:t>módulo completo: normalización, extracción, índice, detección de campo, resolución por jerarquía de evidencia, fallback por valor de fila.</w:t>
      </w:r>
    </w:p>
    <w:p>
      <w:pPr>
        <w:pStyle w:val="ListBullet"/>
      </w:pPr>
      <w:r>
        <w:rPr>
          <w:b/>
        </w:rPr>
        <w:t xml:space="preserve">db_migration_campos_estructurados.sql — </w:t>
      </w:r>
      <w:r>
        <w:t>migración de la tabla nueva coleccion_campos_estructurados (solo Postgres de desarrollo).</w:t>
      </w:r>
    </w:p>
    <w:p>
      <w:pPr>
        <w:pStyle w:val="ListBullet"/>
      </w:pPr>
      <w:r>
        <w:rPr>
          <w:b/>
        </w:rPr>
        <w:t xml:space="preserve">revectorize_all_1541_v2.py — </w:t>
      </w:r>
      <w:r>
        <w:t>re-vectorización estructural (Fase 3.1/3.2/3.5) de Curso_1541 → Curso_1541_experiment_v2, idéntico a lo usado en 1472, 0 líneas específicas de este curso.</w:t>
      </w:r>
    </w:p>
    <w:p>
      <w:pPr>
        <w:pStyle w:val="ListBullet"/>
      </w:pPr>
      <w:r>
        <w:rPr>
          <w:b/>
        </w:rPr>
        <w:t xml:space="preserve">run_three_way_eval_comparison.py — </w:t>
      </w:r>
      <w:r>
        <w:t>evaluación BASE / ROUTER 3.7 / ÍNDICE ESTRUCTURADO sobre el dataset de 25 preguntas de Curso_1472.</w:t>
      </w:r>
    </w:p>
    <w:p>
      <w:r>
        <w:rPr>
          <w:b/>
          <w:i w:val="0"/>
        </w:rPr>
        <w:t>Modificados:</w:t>
      </w:r>
    </w:p>
    <w:p>
      <w:pPr>
        <w:pStyle w:val="ListBullet"/>
      </w:pPr>
      <w:r>
        <w:rPr>
          <w:b/>
        </w:rPr>
        <w:t xml:space="preserve">rag_pipeline.py — </w:t>
      </w:r>
      <w:r>
        <w:t>import campos_estructurados; nuevos flags use_metadata_router (default True) y use_structured_index (default False) en retrieve_rerank_boost()/answer_query(); nueva función _build_structured_evidence_candidate() que convierte un resultado de structured_lookup() en evidencia sintética de máxima prioridad para el prompt de generación.</w:t>
      </w:r>
    </w:p>
    <w:p>
      <w:r>
        <w:rPr>
          <w:b w:val="0"/>
          <w:i w:val="0"/>
        </w:rPr>
        <w:t>No se tocó strategies/rerank.py — el router 3.7 (_METADATA_FIELD_PATTERNS, is_metadata_query, apply_metadata_query_boost) sigue intacto y activo por defecto, tal como se pidió explícitamente (punto 13: 'no borres código funcional antes de tener evidencia').</w:t>
      </w:r>
    </w:p>
    <w:p>
      <w:pPr>
        <w:pStyle w:val="Heading1"/>
      </w:pPr>
      <w:r>
        <w:t>3. Esquema SQL (Postgres de desarrollo)</w:t>
      </w:r>
    </w:p>
    <w:p>
      <w:r>
        <w:rPr>
          <w:b w:val="0"/>
          <w:i w:val="0"/>
        </w:rPr>
        <w:t>Tabla coleccion_campos_estructurados — U_F1_Profundizacion_desarrollo (localhost). No afecta Qdrant ni ninguna base de producción.</w:t>
      </w:r>
    </w:p>
    <w:p>
      <w:r>
        <w:rPr>
          <w:rFonts w:ascii="Consolas" w:hAnsi="Consolas"/>
          <w:sz w:val="17"/>
        </w:rPr>
        <w:t>CREATE TABLE coleccion_campos_estructurados (</w:t>
        <w:br/>
        <w:t xml:space="preserve">    id                      BIGSERIAL PRIMARY KEY,</w:t>
        <w:br/>
        <w:t xml:space="preserve">    qdrant_collection_name  VARCHAR(255) NOT NULL,</w:t>
        <w:br/>
        <w:t xml:space="preserve">    document_filename       TEXT NOT NULL,</w:t>
        <w:br/>
        <w:t xml:space="preserve">    document_type           VARCHAR(20),</w:t>
        <w:br/>
        <w:t xml:space="preserve">    chunk_type              VARCHAR(20) NOT NULL,   -- 'table' | 'table_row'</w:t>
        <w:br/>
        <w:t xml:space="preserve">    field_raw               TEXT NOT NULL,</w:t>
        <w:br/>
        <w:t xml:space="preserve">    field_normalized        TEXT NOT NULL,</w:t>
        <w:br/>
        <w:t xml:space="preserve">    value_raw               TEXT,</w:t>
        <w:br/>
        <w:t xml:space="preserve">    value_normalized        TEXT,</w:t>
        <w:br/>
        <w:t xml:space="preserve">    section_heading         TEXT,</w:t>
        <w:br/>
        <w:t xml:space="preserve">    page                    INTEGER,</w:t>
        <w:br/>
        <w:t xml:space="preserve">    table_signature         TEXT,</w:t>
        <w:br/>
        <w:t xml:space="preserve">    is_repeated_template    BOOLEAN NOT NULL DEFAULT FALSE,</w:t>
        <w:br/>
        <w:t xml:space="preserve">    source_type             VARCHAR(20),</w:t>
        <w:br/>
        <w:t xml:space="preserve">    row_id                  TEXT,</w:t>
        <w:br/>
        <w:t xml:space="preserve">    created_at              TIMESTAMPTZ NOT NULL DEFAULT now()</w:t>
        <w:br/>
        <w:t>);</w:t>
        <w:br/>
        <w:t>-- + índices sobre (collection,field_normalized), (collection), (collection,row_id)</w:t>
      </w:r>
    </w:p>
    <w:p>
      <w:pPr>
        <w:pStyle w:val="Heading1"/>
      </w:pPr>
      <w:r>
        <w:t>4. Arquitectura implementada</w:t>
      </w:r>
    </w:p>
    <w:p>
      <w:r>
        <w:rPr>
          <w:b w:val="0"/>
          <w:i w:val="0"/>
        </w:rPr>
        <w:t>Flujo único (no dos sistemas paralelos, según punto 7 del mandato): Query → detección de campo/valor → structured_lookup() → si hay evidencia, se inserta como candidato sintético de máxima prioridad (boosted_score=10 000) en la MISMA lista de candidatos que produce hybrid_retrieve() → reranking/filtro de relevancia → Evidence/Answerability Gate → LLM → misma verificación de fuente que ya existía. Si structured_lookup() no encuentra nada (None), el pipeline sigue exactamente igual que sin el índice — es aditivo, no bloqueante.</w:t>
      </w:r>
    </w:p>
    <w:p>
      <w:r>
        <w:rPr>
          <w:b/>
          <w:i w:val="0"/>
        </w:rPr>
        <w:t>rebuild_index(collection) — reconstrucción de solo lectura:</w:t>
      </w:r>
    </w:p>
    <w:p>
      <w:r>
        <w:rPr>
          <w:b w:val="0"/>
          <w:i w:val="0"/>
        </w:rPr>
        <w:t>Lee (scroll) los chunks 'table' y 'table_row' YA vectorizados en Qdrant — no descarga nada de Moodle ni re-embebe nada. Re-parsea el markdown de cada tabla con el parser ya existente de Fase 3.1 (_parse_markdown_table_rows), agrupa los campos de una misma fila bajo un row_id común, calcula is_repeated_template con table_signature() (Fase 3.5) — y a diferencia del chunking, SÍ conserva los campos de tablas-plantilla repetidas (el mandato pide no descartarlas del índice, aunque no sirvan para RAG directo). DELETE + INSERT por colección — reconstrucción segura, repetible, no incremental.</w:t>
      </w:r>
    </w:p>
    <w:p>
      <w:pPr>
        <w:pStyle w:val="Heading1"/>
      </w:pPr>
      <w:r>
        <w:t>5. Cómo se detectan los campos (sin lista curada)</w:t>
      </w:r>
    </w:p>
    <w:p>
      <w:r>
        <w:rPr>
          <w:b w:val="0"/>
          <w:i w:val="0"/>
        </w:rPr>
        <w:t>detect_field(collection, query) compara las palabras con contenido de la pregunta contra los field_normalized que REALMENTE existen en esa colección (consulta a Postgres, no una lista en el código). Score = similitud de Jaccard (intersección/unión de palabras) entre la pregunta y el nombre del campo — no basta con compartir una palabra suelta, el campo debe explicar una porción real de la pregunta completa.</w:t>
      </w:r>
    </w:p>
    <w:p>
      <w:r>
        <w:rPr>
          <w:b/>
          <w:i w:val="0"/>
        </w:rPr>
        <w:t>Tres filtros de calidad, todos calculados de los datos de cada colección (nunca hardcodeados):</w:t>
      </w:r>
    </w:p>
    <w:p>
      <w:pPr>
        <w:pStyle w:val="ListBullet"/>
      </w:pPr>
      <w:r>
        <w:t>Rechazo de campos 'mayormente stopwords' — protege contra fragmentos mal extraídos de una tabla (celdas partidas).</w:t>
      </w:r>
    </w:p>
    <w:p>
      <w:pPr>
        <w:pStyle w:val="ListBullet"/>
      </w:pPr>
      <w:r>
        <w:t>Palabras de fondo del curso (ej. 'odontología', 'filosofía') excluidas por frecuencia relativa entre los campos de ESA colección — evita que cualquier pregunta que mencione el tema del curso matchee con score perfecto un campo cualquiera (caso A6).</w:t>
      </w:r>
    </w:p>
    <w:p>
      <w:pPr>
        <w:pStyle w:val="ListBullet"/>
      </w:pPr>
      <w:r>
        <w:t>NUEVO (agregado tras la prueba de generalización con Curso_1541): prior por cobertura documental — un campo respaldado por muchos documentos distintos de la colección pesa más que uno que aparece en un solo documento aislado. Corrige que un campo raro de una sola palabra (ej. la columna 'Modalidad' de UNA actividad puntual) le gane por coincidencia exacta a un campo más ampliamente atestiguado y semánticamente correcto ('modalidad del programa', presente en 33/33 documentos del sílabo) — ver punto 9.</w:t>
      </w:r>
    </w:p>
    <w:p>
      <w:r>
        <w:rPr>
          <w:b w:val="0"/>
          <w:i w:val="0"/>
        </w:rPr>
        <w:t>Fallback: _detect_row_by_value() — para tablas donde la primera columna es un identificador de fila y no un nombre de campo (ej. 'Componente: Examen sumativo | Ponderación: 20%'), busca coincidencia léxica contra los VALORES en vez de los nombres de campo, con los mismos filtros.</w:t>
      </w:r>
    </w:p>
    <w:p>
      <w:r>
        <w:rPr>
          <w:b w:val="0"/>
          <w:i w:val="0"/>
        </w:rPr>
        <w:t>Ningún umbral ni parámetro se ajustó específicamente para Curso_1541 — los mismos min_score (0.34 para campo, 0.4 para fila-por-valor) que se calibraron sobre Curso_1472 funcionaron sin cambios en un curso de otra materia.</w:t>
      </w:r>
    </w:p>
    <w:p>
      <w:pPr>
        <w:pStyle w:val="Heading1"/>
      </w:pPr>
      <w:r>
        <w:t>6. Cómo se resuelven los conflictos (jerarquía de evidencia, NO mayoría)</w:t>
      </w:r>
    </w:p>
    <w:p>
      <w:r>
        <w:rPr>
          <w:b/>
          <w:i w:val="0"/>
        </w:rPr>
        <w:t>resolve_field() — exactamente como pidió el usuario, se descartó explícitamente 'el valor minoritario es el real':</w:t>
      </w:r>
    </w:p>
    <w:p>
      <w:pPr>
        <w:pStyle w:val="ListBullet"/>
      </w:pPr>
      <w:r>
        <w:t>1. Se descartan valores vacíos.</w:t>
      </w:r>
    </w:p>
    <w:p>
      <w:pPr>
        <w:pStyle w:val="ListBullet"/>
      </w:pPr>
      <w:r>
        <w:t>2. Se separa evidencia de mayor autoridad (tabla NO repetida, is_repeated_template=False) de evidencia de plantilla repetida.</w:t>
      </w:r>
    </w:p>
    <w:p>
      <w:pPr>
        <w:pStyle w:val="ListBullet"/>
      </w:pPr>
      <w:r>
        <w:t>3. Si hay evidencia de mayor autoridad con UN solo valor distinto → CONFIDENTE.</w:t>
      </w:r>
    </w:p>
    <w:p>
      <w:pPr>
        <w:pStyle w:val="ListBullet"/>
      </w:pPr>
      <w:r>
        <w:t>4. Si hay 2+ valores distintos entre esas fuentes de mayor autoridad → AMBIGUO — se devuelven TODOS los candidatos con su documento de origen; nunca se elige uno. Se inyecta al LLM como una advertencia explícita para que explique la discrepancia, no que la oculte (caso verificado: 'criterios de evaluación', 2 valores distintos de SESION 3 y SESION 6, preservados).</w:t>
      </w:r>
    </w:p>
    <w:p>
      <w:pPr>
        <w:pStyle w:val="ListBullet"/>
      </w:pPr>
      <w:r>
        <w:t>5. Si solo hay evidencia de plantillas repetidas → INSUFICIENTE, cae a RAG normal.</w:t>
      </w:r>
    </w:p>
    <w:p>
      <w:pPr>
        <w:pStyle w:val="ListBullet"/>
      </w:pPr>
      <w:r>
        <w:t>6. Si no hay ninguna evidencia → NO_ENCONTRADO, cae a RAG normal.</w:t>
      </w:r>
    </w:p>
    <w:p>
      <w:pPr>
        <w:pStyle w:val="Heading1"/>
      </w:pPr>
      <w:r>
        <w:t>7. Cómo se determina la autoridad de una fuente</w:t>
      </w:r>
    </w:p>
    <w:p>
      <w:r>
        <w:rPr>
          <w:b w:val="0"/>
          <w:i w:val="0"/>
        </w:rPr>
        <w:t>Se reutiliza exactamente lo que Fase 3.5 ya calcula — table_signature() detecta si la estructura de una tabla se repite en 2+ documentos del curso (plantilla semanal sin llenar) vs. es única. Una fila de una tabla única pesa como evidencia de mayor autoridad; una fila de una tabla-plantilla repetida pesa como evidencia de menor autoridad (nunca se descarta del índice, pero no puede por sí sola producir una respuesta CONFIDENTE). source_type (curso_propio/bibliografia) se conserva en cada registro para trazabilidad, aunque no se usa todavía como criterio de desempate — queda documentado para una fase futura si aparece un caso real que lo requiera.</w:t>
      </w:r>
    </w:p>
    <w:p>
      <w:pPr>
        <w:pStyle w:val="Heading1"/>
      </w:pPr>
      <w:r>
        <w:t>8. Trazabilidad</w:t>
      </w:r>
    </w:p>
    <w:p>
      <w:r>
        <w:rPr>
          <w:b w:val="0"/>
          <w:i w:val="0"/>
        </w:rPr>
        <w:t>Toda respuesta CONFIDENTE/AMBIGUA del índice carga su evidencia completa (documento, página, sección, tipo de chunk) hasta el candidato sintético que se inserta en el pipeline — el LLM recibe el nombre real del documento y lo cita, igual que con cualquier chunk real de Qdrant. Ninguna respuesta estructurada se presenta sin poder señalar de qué documento salió.</w:t>
      </w:r>
    </w:p>
    <w:p>
      <w:pPr>
        <w:pStyle w:val="Heading1"/>
      </w:pPr>
      <w:r>
        <w:t>9. Resultados — Curso_1472</w:t>
      </w:r>
    </w:p>
    <w:p>
      <w:r>
        <w:rPr>
          <w:b w:val="0"/>
          <w:i w:val="0"/>
        </w:rPr>
        <w:t>Índice reconstruido: 296 chunks 'table' + 507 chunks 'table_row' escaneados → 1370 registros campo:valor → 152 campos distintos descubiertos automáticamente.</w:t>
      </w:r>
    </w:p>
    <w:p>
      <w:r>
        <w:rPr>
          <w:b w:val="0"/>
          <w:i w:val="0"/>
        </w:rPr>
        <w:t>Los 10 casos mínimos pedidos (punto 10) validados end-to-end (structured_lookup() y answer_query() completo):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Caso</w:t>
            </w:r>
          </w:p>
        </w:tc>
        <w:tc>
          <w:tcPr>
            <w:tcW w:type="dxa" w:w="2880"/>
          </w:tcPr>
          <w:p>
            <w:r>
              <w:rPr>
                <w:b/>
              </w:rPr>
              <w:t>Resultado structured_lookup</w:t>
            </w:r>
          </w:p>
        </w:tc>
        <w:tc>
          <w:tcPr>
            <w:tcW w:type="dxa" w:w="2880"/>
          </w:tcPr>
          <w:p>
            <w:r>
              <w:rPr>
                <w:b/>
              </w:rPr>
              <w:t>Verificado end-to-end</w:t>
            </w:r>
          </w:p>
        </w:tc>
      </w:tr>
      <w:tr>
        <w:tc>
          <w:tcPr>
            <w:tcW w:type="dxa" w:w="2880"/>
          </w:tcPr>
          <w:p>
            <w:r>
              <w:t>¿Quién es el docente?</w:t>
            </w:r>
          </w:p>
        </w:tc>
        <w:tc>
          <w:tcPr>
            <w:tcW w:type="dxa" w:w="2880"/>
          </w:tcPr>
          <w:p>
            <w:r>
              <w:t>confident</w:t>
            </w:r>
          </w:p>
        </w:tc>
        <w:tc>
          <w:tcPr>
            <w:tcW w:type="dxa" w:w="2880"/>
          </w:tcPr>
          <w:p>
            <w:r>
              <w:t>OK</w:t>
            </w:r>
          </w:p>
        </w:tc>
      </w:tr>
      <w:tr>
        <w:tc>
          <w:tcPr>
            <w:tcW w:type="dxa" w:w="2880"/>
          </w:tcPr>
          <w:p>
            <w:r>
              <w:t>¿Cuántos créditos?</w:t>
            </w:r>
          </w:p>
        </w:tc>
        <w:tc>
          <w:tcPr>
            <w:tcW w:type="dxa" w:w="2880"/>
          </w:tcPr>
          <w:p>
            <w:r>
              <w:t>confident</w:t>
            </w:r>
          </w:p>
        </w:tc>
        <w:tc>
          <w:tcPr>
            <w:tcW w:type="dxa" w:w="2880"/>
          </w:tcPr>
          <w:p>
            <w:r>
              <w:t>OK</w:t>
            </w:r>
          </w:p>
        </w:tc>
      </w:tr>
      <w:tr>
        <w:tc>
          <w:tcPr>
            <w:tcW w:type="dxa" w:w="2880"/>
          </w:tcPr>
          <w:p>
            <w:r>
              <w:t>¿Cuál es la modalidad?</w:t>
            </w:r>
          </w:p>
        </w:tc>
        <w:tc>
          <w:tcPr>
            <w:tcW w:type="dxa" w:w="2880"/>
          </w:tcPr>
          <w:p>
            <w:r>
              <w:t>confident</w:t>
            </w:r>
          </w:p>
        </w:tc>
        <w:tc>
          <w:tcPr>
            <w:tcW w:type="dxa" w:w="2880"/>
          </w:tcPr>
          <w:p>
            <w:r>
              <w:t>OK</w:t>
            </w:r>
          </w:p>
        </w:tc>
      </w:tr>
      <w:tr>
        <w:tc>
          <w:tcPr>
            <w:tcW w:type="dxa" w:w="2880"/>
          </w:tcPr>
          <w:p>
            <w:r>
              <w:t>¿Cuál es el prerrequisito?</w:t>
            </w:r>
          </w:p>
        </w:tc>
        <w:tc>
          <w:tcPr>
            <w:tcW w:type="dxa" w:w="2880"/>
          </w:tcPr>
          <w:p>
            <w:r>
              <w:t>confident</w:t>
            </w:r>
          </w:p>
        </w:tc>
        <w:tc>
          <w:tcPr>
            <w:tcW w:type="dxa" w:w="2880"/>
          </w:tcPr>
          <w:p>
            <w:r>
              <w:t>OK</w:t>
            </w:r>
          </w:p>
        </w:tc>
      </w:tr>
      <w:tr>
        <w:tc>
          <w:tcPr>
            <w:tcW w:type="dxa" w:w="2880"/>
          </w:tcPr>
          <w:p>
            <w:r>
              <w:t>¿Cuál es el semestre académico?</w:t>
            </w:r>
          </w:p>
        </w:tc>
        <w:tc>
          <w:tcPr>
            <w:tcW w:type="dxa" w:w="2880"/>
          </w:tcPr>
          <w:p>
            <w:r>
              <w:t>confident</w:t>
            </w:r>
          </w:p>
        </w:tc>
        <w:tc>
          <w:tcPr>
            <w:tcW w:type="dxa" w:w="2880"/>
          </w:tcPr>
          <w:p>
            <w:r>
              <w:t>OK</w:t>
            </w:r>
          </w:p>
        </w:tc>
      </w:tr>
      <w:tr>
        <w:tc>
          <w:tcPr>
            <w:tcW w:type="dxa" w:w="2880"/>
          </w:tcPr>
          <w:p>
            <w:r>
              <w:t>¿Cuánto vale el examen sumativo?</w:t>
            </w:r>
          </w:p>
        </w:tc>
        <w:tc>
          <w:tcPr>
            <w:tcW w:type="dxa" w:w="2880"/>
          </w:tcPr>
          <w:p>
            <w:r>
              <w:t>confident_row (fallback por valor)</w:t>
            </w:r>
          </w:p>
        </w:tc>
        <w:tc>
          <w:tcPr>
            <w:tcW w:type="dxa" w:w="2880"/>
          </w:tcPr>
          <w:p>
            <w:r>
              <w:t>OK</w:t>
            </w:r>
          </w:p>
        </w:tc>
      </w:tr>
      <w:tr>
        <w:tc>
          <w:tcPr>
            <w:tcW w:type="dxa" w:w="2880"/>
          </w:tcPr>
          <w:p>
            <w:r>
              <w:t>Conceptual (no debe activar)</w:t>
            </w:r>
          </w:p>
        </w:tc>
        <w:tc>
          <w:tcPr>
            <w:tcW w:type="dxa" w:w="2880"/>
          </w:tcPr>
          <w:p>
            <w:r>
              <w:t>None → RAG normal</w:t>
            </w:r>
          </w:p>
        </w:tc>
        <w:tc>
          <w:tcPr>
            <w:tcW w:type="dxa" w:w="2880"/>
          </w:tcPr>
          <w:p>
            <w:r>
              <w:t>OK</w:t>
            </w:r>
          </w:p>
        </w:tc>
      </w:tr>
      <w:tr>
        <w:tc>
          <w:tcPr>
            <w:tcW w:type="dxa" w:w="2880"/>
          </w:tcPr>
          <w:p>
            <w:r>
              <w:t>Sin respuesta (prácticas preprofesionales)</w:t>
            </w:r>
          </w:p>
        </w:tc>
        <w:tc>
          <w:tcPr>
            <w:tcW w:type="dxa" w:w="2880"/>
          </w:tcPr>
          <w:p>
            <w:r>
              <w:t>None → RAG normal, abstiene</w:t>
            </w:r>
          </w:p>
        </w:tc>
        <w:tc>
          <w:tcPr>
            <w:tcW w:type="dxa" w:w="2880"/>
          </w:tcPr>
          <w:p>
            <w:r>
              <w:t>OK</w:t>
            </w:r>
          </w:p>
        </w:tc>
      </w:tr>
      <w:tr>
        <w:tc>
          <w:tcPr>
            <w:tcW w:type="dxa" w:w="2880"/>
          </w:tcPr>
          <w:p>
            <w:r>
              <w:t>Menciona fuente específica (sílabo)</w:t>
            </w:r>
          </w:p>
        </w:tc>
        <w:tc>
          <w:tcPr>
            <w:tcW w:type="dxa" w:w="2880"/>
          </w:tcPr>
          <w:p>
            <w:r>
              <w:t>confident</w:t>
            </w:r>
          </w:p>
        </w:tc>
        <w:tc>
          <w:tcPr>
            <w:tcW w:type="dxa" w:w="2880"/>
          </w:tcPr>
          <w:p>
            <w:r>
              <w:t>OK</w:t>
            </w:r>
          </w:p>
        </w:tc>
      </w:tr>
      <w:tr>
        <w:tc>
          <w:tcPr>
            <w:tcW w:type="dxa" w:w="2880"/>
          </w:tcPr>
          <w:p>
            <w:r>
              <w:t>A6 — acreditación (caso prioritario)</w:t>
            </w:r>
          </w:p>
        </w:tc>
        <w:tc>
          <w:tcPr>
            <w:tcW w:type="dxa" w:w="2880"/>
          </w:tcPr>
          <w:p>
            <w:r>
              <w:t>None → RAG normal</w:t>
            </w:r>
          </w:p>
        </w:tc>
        <w:tc>
          <w:tcPr>
            <w:tcW w:type="dxa" w:w="2880"/>
          </w:tcPr>
          <w:p>
            <w:r>
              <w:t>no alucina con el índice</w:t>
            </w:r>
          </w:p>
        </w:tc>
      </w:tr>
      <w:tr>
        <w:tc>
          <w:tcPr>
            <w:tcW w:type="dxa" w:w="2880"/>
          </w:tcPr>
          <w:p>
            <w:r>
              <w:t>Valores contradictorios (criterios evaluación)</w:t>
            </w:r>
          </w:p>
        </w:tc>
        <w:tc>
          <w:tcPr>
            <w:tcW w:type="dxa" w:w="2880"/>
          </w:tcPr>
          <w:p>
            <w:r>
              <w:t>ambiguous, 2 candidatos preservados</w:t>
            </w:r>
          </w:p>
        </w:tc>
        <w:tc>
          <w:tcPr>
            <w:tcW w:type="dxa" w:w="2880"/>
          </w:tcPr>
          <w:p>
            <w:r>
              <w:t>LLM explica la discrepancia, no elige</w:t>
            </w:r>
          </w:p>
        </w:tc>
      </w:tr>
    </w:tbl>
    <w:p>
      <w:pPr>
        <w:pStyle w:val="Heading1"/>
      </w:pPr>
      <w:r>
        <w:t>10. Comparación BASE / ROUTER 3.7 / ÍNDICE ESTRUCTURADO</w:t>
      </w:r>
    </w:p>
    <w:p>
      <w:r>
        <w:rPr>
          <w:b w:val="0"/>
          <w:i w:val="0"/>
        </w:rPr>
        <w:t>Dataset: 15 preguntas principales + 10 adversariales, Curso_1472. Generación con temperatura del modelo por defecto (no determinística) — los números tienen variación normal de ±1 pregunta.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BASE</w:t>
            </w:r>
          </w:p>
        </w:tc>
        <w:tc>
          <w:tcPr>
            <w:tcW w:type="dxa" w:w="2160"/>
          </w:tcPr>
          <w:p>
            <w:r>
              <w:rPr>
                <w:b/>
              </w:rPr>
              <w:t>Router 3.7</w:t>
            </w:r>
          </w:p>
        </w:tc>
        <w:tc>
          <w:tcPr>
            <w:tcW w:type="dxa" w:w="2160"/>
          </w:tcPr>
          <w:p>
            <w:r>
              <w:rPr>
                <w:b/>
              </w:rPr>
              <w:t>Índice estructurado</w:t>
            </w:r>
          </w:p>
        </w:tc>
      </w:tr>
      <w:tr>
        <w:tc>
          <w:tcPr>
            <w:tcW w:type="dxa" w:w="2160"/>
          </w:tcPr>
          <w:p>
            <w:r>
              <w:t>Recall@5</w:t>
            </w:r>
          </w:p>
        </w:tc>
        <w:tc>
          <w:tcPr>
            <w:tcW w:type="dxa" w:w="2160"/>
          </w:tcPr>
          <w:p>
            <w:r>
              <w:t>69.2%</w:t>
            </w:r>
          </w:p>
        </w:tc>
        <w:tc>
          <w:tcPr>
            <w:tcW w:type="dxa" w:w="2160"/>
          </w:tcPr>
          <w:p>
            <w:r>
              <w:t>76.9%</w:t>
            </w:r>
          </w:p>
        </w:tc>
        <w:tc>
          <w:tcPr>
            <w:tcW w:type="dxa" w:w="2160"/>
          </w:tcPr>
          <w:p>
            <w:r>
              <w:t>76.9%</w:t>
            </w:r>
          </w:p>
        </w:tc>
      </w:tr>
      <w:tr>
        <w:tc>
          <w:tcPr>
            <w:tcW w:type="dxa" w:w="2160"/>
          </w:tcPr>
          <w:p>
            <w:r>
              <w:t>Recall@10</w:t>
            </w:r>
          </w:p>
        </w:tc>
        <w:tc>
          <w:tcPr>
            <w:tcW w:type="dxa" w:w="2160"/>
          </w:tcPr>
          <w:p>
            <w:r>
              <w:t>84.6%</w:t>
            </w:r>
          </w:p>
        </w:tc>
        <w:tc>
          <w:tcPr>
            <w:tcW w:type="dxa" w:w="2160"/>
          </w:tcPr>
          <w:p>
            <w:r>
              <w:t>84.6%</w:t>
            </w:r>
          </w:p>
        </w:tc>
        <w:tc>
          <w:tcPr>
            <w:tcW w:type="dxa" w:w="2160"/>
          </w:tcPr>
          <w:p>
            <w:r>
              <w:t>84.6%</w:t>
            </w:r>
          </w:p>
        </w:tc>
      </w:tr>
      <w:tr>
        <w:tc>
          <w:tcPr>
            <w:tcW w:type="dxa" w:w="2160"/>
          </w:tcPr>
          <w:p>
            <w:r>
              <w:t>MRR</w:t>
            </w:r>
          </w:p>
        </w:tc>
        <w:tc>
          <w:tcPr>
            <w:tcW w:type="dxa" w:w="2160"/>
          </w:tcPr>
          <w:p>
            <w:r>
              <w:t>0.356</w:t>
            </w:r>
          </w:p>
        </w:tc>
        <w:tc>
          <w:tcPr>
            <w:tcW w:type="dxa" w:w="2160"/>
          </w:tcPr>
          <w:p>
            <w:r>
              <w:t>0.647</w:t>
            </w:r>
          </w:p>
        </w:tc>
        <w:tc>
          <w:tcPr>
            <w:tcW w:type="dxa" w:w="2160"/>
          </w:tcPr>
          <w:p>
            <w:r>
              <w:t>0.641</w:t>
            </w:r>
          </w:p>
        </w:tc>
      </w:tr>
      <w:tr>
        <w:tc>
          <w:tcPr>
            <w:tcW w:type="dxa" w:w="2160"/>
          </w:tcPr>
          <w:p>
            <w:r>
              <w:t>Cobertura de keywords</w:t>
            </w:r>
          </w:p>
        </w:tc>
        <w:tc>
          <w:tcPr>
            <w:tcW w:type="dxa" w:w="2160"/>
          </w:tcPr>
          <w:p>
            <w:r>
              <w:t>53.2%</w:t>
            </w:r>
          </w:p>
        </w:tc>
        <w:tc>
          <w:tcPr>
            <w:tcW w:type="dxa" w:w="2160"/>
          </w:tcPr>
          <w:p>
            <w:r>
              <w:t>87.8%</w:t>
            </w:r>
          </w:p>
        </w:tc>
        <w:tc>
          <w:tcPr>
            <w:tcW w:type="dxa" w:w="2160"/>
          </w:tcPr>
          <w:p>
            <w:r>
              <w:t>87.8%</w:t>
            </w:r>
          </w:p>
        </w:tc>
      </w:tr>
      <w:tr>
        <w:tc>
          <w:tcPr>
            <w:tcW w:type="dxa" w:w="2160"/>
          </w:tcPr>
          <w:p>
            <w:r>
              <w:t>Cita fuente esperada</w:t>
            </w:r>
          </w:p>
        </w:tc>
        <w:tc>
          <w:tcPr>
            <w:tcW w:type="dxa" w:w="2160"/>
          </w:tcPr>
          <w:p>
            <w:r>
              <w:t>84.6%</w:t>
            </w:r>
          </w:p>
        </w:tc>
        <w:tc>
          <w:tcPr>
            <w:tcW w:type="dxa" w:w="2160"/>
          </w:tcPr>
          <w:p>
            <w:r>
              <w:t>92.3%</w:t>
            </w:r>
          </w:p>
        </w:tc>
        <w:tc>
          <w:tcPr>
            <w:tcW w:type="dxa" w:w="2160"/>
          </w:tcPr>
          <w:p>
            <w:r>
              <w:t>92.3%</w:t>
            </w:r>
          </w:p>
        </w:tc>
      </w:tr>
      <w:tr>
        <w:tc>
          <w:tcPr>
            <w:tcW w:type="dxa" w:w="2160"/>
          </w:tcPr>
          <w:p>
            <w:r>
              <w:t>Abstención correcta</w:t>
            </w:r>
          </w:p>
        </w:tc>
        <w:tc>
          <w:tcPr>
            <w:tcW w:type="dxa" w:w="2160"/>
          </w:tcPr>
          <w:p>
            <w:r>
              <w:t>100%</w:t>
            </w:r>
          </w:p>
        </w:tc>
        <w:tc>
          <w:tcPr>
            <w:tcW w:type="dxa" w:w="2160"/>
          </w:tcPr>
          <w:p>
            <w:r>
              <w:t>100%</w:t>
            </w:r>
          </w:p>
        </w:tc>
        <w:tc>
          <w:tcPr>
            <w:tcW w:type="dxa" w:w="2160"/>
          </w:tcPr>
          <w:p>
            <w:r>
              <w:t>100%</w:t>
            </w:r>
          </w:p>
        </w:tc>
      </w:tr>
      <w:tr>
        <w:tc>
          <w:tcPr>
            <w:tcW w:type="dxa" w:w="2160"/>
          </w:tcPr>
          <w:p>
            <w:r>
              <w:t>Adversarial (heurística automática, 7/10 casos)</w:t>
            </w:r>
          </w:p>
        </w:tc>
        <w:tc>
          <w:tcPr>
            <w:tcW w:type="dxa" w:w="2160"/>
          </w:tcPr>
          <w:p>
            <w:r>
              <w:t>85.7%</w:t>
            </w:r>
          </w:p>
        </w:tc>
        <w:tc>
          <w:tcPr>
            <w:tcW w:type="dxa" w:w="2160"/>
          </w:tcPr>
          <w:p>
            <w:r>
              <w:t>100%</w:t>
            </w:r>
          </w:p>
        </w:tc>
        <w:tc>
          <w:tcPr>
            <w:tcW w:type="dxa" w:w="2160"/>
          </w:tcPr>
          <w:p>
            <w:r>
              <w:t>100%</w:t>
            </w:r>
          </w:p>
        </w:tc>
      </w:tr>
      <w:tr>
        <w:tc>
          <w:tcPr>
            <w:tcW w:type="dxa" w:w="2160"/>
          </w:tcPr>
          <w:p>
            <w:r>
              <w:t>Reglas hardcodeadas de campo/curso/documento</w:t>
            </w:r>
          </w:p>
        </w:tc>
        <w:tc>
          <w:tcPr>
            <w:tcW w:type="dxa" w:w="2160"/>
          </w:tcPr>
          <w:p>
            <w:r>
              <w:t>0</w:t>
            </w:r>
          </w:p>
        </w:tc>
        <w:tc>
          <w:tcPr>
            <w:tcW w:type="dxa" w:w="2160"/>
          </w:tcPr>
          <w:p>
            <w:r>
              <w:t>9 (regex curados)</w:t>
            </w:r>
          </w:p>
        </w:tc>
        <w:tc>
          <w:tcPr>
            <w:tcW w:type="dxa" w:w="2160"/>
          </w:tcPr>
          <w:p>
            <w:r>
              <w:t>0</w:t>
            </w:r>
          </w:p>
        </w:tc>
      </w:tr>
    </w:tbl>
    <w:p>
      <w:r>
        <w:rPr>
          <w:b w:val="0"/>
          <w:i w:val="0"/>
        </w:rPr>
        <w:t>El índice estructurado iguala al router 3.7 en todas las métricas cuantitativas (diferencia de MRR de 0.006 está dentro del ruido normal de generación) con cero reglas curadas. Cumple el criterio del punto 13 ('igualar o superar sin regresiones') para justificar preparar el retiro del router antiguo — ver punto 14.</w:t>
      </w:r>
    </w:p>
    <w:p>
      <w:pPr>
        <w:pStyle w:val="Heading1"/>
      </w:pPr>
      <w:r>
        <w:t>11. Resultados — Curso_1541 (prueba de generalidad entre cursos)</w:t>
      </w:r>
    </w:p>
    <w:p>
      <w:r>
        <w:rPr>
          <w:b w:val="0"/>
          <w:i w:val="0"/>
        </w:rPr>
        <w:t>Curso_1541 (Filosofía de la Educación, temática totalmente distinta a Odontología) se re-vectorizó desde cero con el MISMO pipeline estructural (Fase 3.1/3.2/3.5) sin ninguna línea de código específica de este curso: 64/64 archivos procesados correctamente, 3550 chunks, 472 tablas completas, 308 filas.</w:t>
      </w:r>
    </w:p>
    <w:p>
      <w:r>
        <w:rPr>
          <w:b w:val="0"/>
          <w:i w:val="0"/>
        </w:rPr>
        <w:t>Índice reconstruido: 464 chunks 'table' + 308 chunks 'table_row' → 1675 registros → 194 campos distintos descubiertos automáticamente — un conjunto de campos COMPLETAMENTE diferente al de Curso_1472 (ningún campo compartido salvo los genéricos de sílabo: docente, créditos, modalidad, prerrequisito, semestre académico, criterios de evaluación).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Caso equivalente (1541)</w:t>
            </w:r>
          </w:p>
        </w:tc>
        <w:tc>
          <w:tcPr>
            <w:tcW w:type="dxa" w:w="2880"/>
          </w:tcPr>
          <w:p>
            <w:r>
              <w:rPr>
                <w:b/>
              </w:rPr>
              <w:t>Resultado</w:t>
            </w:r>
          </w:p>
        </w:tc>
        <w:tc>
          <w:tcPr>
            <w:tcW w:type="dxa" w:w="2880"/>
          </w:tcPr>
          <w:p>
            <w:r>
              <w:rPr>
                <w:b/>
              </w:rPr>
              <w:t>Nota</w:t>
            </w:r>
          </w:p>
        </w:tc>
      </w:tr>
      <w:tr>
        <w:tc>
          <w:tcPr>
            <w:tcW w:type="dxa" w:w="2880"/>
          </w:tcPr>
          <w:p>
            <w:r>
              <w:t>¿Quién es el docente?</w:t>
            </w:r>
          </w:p>
        </w:tc>
        <w:tc>
          <w:tcPr>
            <w:tcW w:type="dxa" w:w="2880"/>
          </w:tcPr>
          <w:p>
            <w:r>
              <w:t>confident → 'Quiñones Negrete, Magaly'</w:t>
            </w:r>
          </w:p>
        </w:tc>
        <w:tc>
          <w:tcPr>
            <w:tcW w:type="dxa" w:w="2880"/>
          </w:tcPr>
          <w:p>
            <w:r>
              <w:t>correcto, verificado contra el sílabo real</w:t>
            </w:r>
          </w:p>
        </w:tc>
      </w:tr>
      <w:tr>
        <w:tc>
          <w:tcPr>
            <w:tcW w:type="dxa" w:w="2880"/>
          </w:tcPr>
          <w:p>
            <w:r>
              <w:t>¿Cuántos créditos?</w:t>
            </w:r>
          </w:p>
        </w:tc>
        <w:tc>
          <w:tcPr>
            <w:tcW w:type="dxa" w:w="2880"/>
          </w:tcPr>
          <w:p>
            <w:r>
              <w:t>confident → 3</w:t>
            </w:r>
          </w:p>
        </w:tc>
        <w:tc>
          <w:tcPr>
            <w:tcW w:type="dxa" w:w="2880"/>
          </w:tcPr>
          <w:p>
            <w:r>
              <w:t>correcto</w:t>
            </w:r>
          </w:p>
        </w:tc>
      </w:tr>
      <w:tr>
        <w:tc>
          <w:tcPr>
            <w:tcW w:type="dxa" w:w="2880"/>
          </w:tcPr>
          <w:p>
            <w:r>
              <w:t>¿Cuál es la modalidad?</w:t>
            </w:r>
          </w:p>
        </w:tc>
        <w:tc>
          <w:tcPr>
            <w:tcW w:type="dxa" w:w="2880"/>
          </w:tcPr>
          <w:p>
            <w:r>
              <w:t>confident → 'Presencial'</w:t>
            </w:r>
          </w:p>
        </w:tc>
        <w:tc>
          <w:tcPr>
            <w:tcW w:type="dxa" w:w="2880"/>
          </w:tcPr>
          <w:p>
            <w:r>
              <w:t>ver bug encontrado y corregido abajo</w:t>
            </w:r>
          </w:p>
        </w:tc>
      </w:tr>
      <w:tr>
        <w:tc>
          <w:tcPr>
            <w:tcW w:type="dxa" w:w="2880"/>
          </w:tcPr>
          <w:p>
            <w:r>
              <w:t>¿Cuál es el prerrequisito?</w:t>
            </w:r>
          </w:p>
        </w:tc>
        <w:tc>
          <w:tcPr>
            <w:tcW w:type="dxa" w:w="2880"/>
          </w:tcPr>
          <w:p>
            <w:r>
              <w:t>confident → 'No tiene'</w:t>
            </w:r>
          </w:p>
        </w:tc>
        <w:tc>
          <w:tcPr>
            <w:tcW w:type="dxa" w:w="2880"/>
          </w:tcPr>
          <w:p>
            <w:r>
              <w:t>correcto</w:t>
            </w:r>
          </w:p>
        </w:tc>
      </w:tr>
      <w:tr>
        <w:tc>
          <w:tcPr>
            <w:tcW w:type="dxa" w:w="2880"/>
          </w:tcPr>
          <w:p>
            <w:r>
              <w:t>¿Cuál es el semestre académico?</w:t>
            </w:r>
          </w:p>
        </w:tc>
        <w:tc>
          <w:tcPr>
            <w:tcW w:type="dxa" w:w="2880"/>
          </w:tcPr>
          <w:p>
            <w:r>
              <w:t>confident → 2026-II</w:t>
            </w:r>
          </w:p>
        </w:tc>
        <w:tc>
          <w:tcPr>
            <w:tcW w:type="dxa" w:w="2880"/>
          </w:tcPr>
          <w:p>
            <w:r>
              <w:t>correcto</w:t>
            </w:r>
          </w:p>
        </w:tc>
      </w:tr>
      <w:tr>
        <w:tc>
          <w:tcPr>
            <w:tcW w:type="dxa" w:w="2880"/>
          </w:tcPr>
          <w:p>
            <w:r>
              <w:t>Conceptual (filosofía de la educación)</w:t>
            </w:r>
          </w:p>
        </w:tc>
        <w:tc>
          <w:tcPr>
            <w:tcW w:type="dxa" w:w="2880"/>
          </w:tcPr>
          <w:p>
            <w:r>
              <w:t>None → RAG normal</w:t>
            </w:r>
          </w:p>
        </w:tc>
        <w:tc>
          <w:tcPr>
            <w:tcW w:type="dxa" w:w="2880"/>
          </w:tcPr>
          <w:p>
            <w:r>
              <w:t>correcto, no activa el índice</w:t>
            </w:r>
          </w:p>
        </w:tc>
      </w:tr>
      <w:tr>
        <w:tc>
          <w:tcPr>
            <w:tcW w:type="dxa" w:w="2880"/>
          </w:tcPr>
          <w:p>
            <w:r>
              <w:t>Sin respuesta (horas de laboratorio de química)</w:t>
            </w:r>
          </w:p>
        </w:tc>
        <w:tc>
          <w:tcPr>
            <w:tcW w:type="dxa" w:w="2880"/>
          </w:tcPr>
          <w:p>
            <w:r>
              <w:t>None → RAG normal, abstiene</w:t>
            </w:r>
          </w:p>
        </w:tc>
        <w:tc>
          <w:tcPr>
            <w:tcW w:type="dxa" w:w="2880"/>
          </w:tcPr>
          <w:p>
            <w:r>
              <w:t>correcto</w:t>
            </w:r>
          </w:p>
        </w:tc>
      </w:tr>
    </w:tbl>
    <w:p>
      <w:r>
        <w:rPr>
          <w:b/>
          <w:i w:val="0"/>
          <w:color w:val="B35C00"/>
        </w:rPr>
        <w:t>Bug encontrado y corregido durante esta prueba:</w:t>
      </w:r>
    </w:p>
    <w:p>
      <w:r>
        <w:rPr>
          <w:b w:val="0"/>
          <w:i w:val="0"/>
        </w:rPr>
        <w:t>'¿Cuál es la modalidad del curso?' inicialmente devolvió 'Trabajo colaborativo en equipos' — el valor CORRECTO era 'Presencial'. Causa raíz: existían dos campos normalizados distintos, 'modalidad' (bare, un solo documento — la columna de una actividad puntual, sin relación con la modalidad del curso) y 'modalidad del programa' (33/33 documentos — el dato real del sílabo). La coincidencia EXACTA de la palabra 'modalidad' le daba a 'modalidad' bare un Jaccard perfecto (1.0) contra 0.5 del campo correcto, y ganaba. Esto NO es un problema específico de este curso — es una debilidad genérica del algoritmo de detección (una coincidencia exacta rara siempre gana sobre una más amplia pero parcial).</w:t>
      </w:r>
    </w:p>
    <w:p>
      <w:r>
        <w:rPr>
          <w:b w:val="0"/>
          <w:i w:val="0"/>
          <w:color w:val="1E7A34"/>
        </w:rPr>
        <w:t>Corrección aplicada (genérica, sin nombrar ningún campo/curso): se pondera el score de detect_field() por la cobertura documental del campo dentro de la colección (0.3 + 0.7·min(docs,5)/5) — un campo respaldado por más documentos pesa más como candidato. Se re-verificaron los 18 casos ya validados de ambos cursos tras el cambio: NINGUNA regresión, 'modalidad' en 1541 ahora resuelve correctamente a 'Presencial'.</w:t>
      </w:r>
    </w:p>
    <w:p>
      <w:pPr>
        <w:pStyle w:val="Heading1"/>
      </w:pPr>
      <w:r>
        <w:t>12. Casos fallidos / hallazgos</w:t>
      </w:r>
    </w:p>
    <w:p>
      <w:pPr>
        <w:pStyle w:val="ListBullet"/>
      </w:pPr>
      <w:r>
        <w:t>[Corregido] Colisión de campo homónimo 'modalidad' vs 'modalidad del programa' en Curso_1541 — ver punto 11.</w:t>
      </w:r>
    </w:p>
    <w:p>
      <w:pPr>
        <w:pStyle w:val="ListBullet"/>
      </w:pPr>
      <w:r>
        <w:t>[Preexistente, NO causado por el índice] Caso A6 ('¿Qué dice la acreditación del programa de Odontología sobre la calidad educativa de este curso en particular?'): en la corrida de comparación de 25 preguntas, las TRES variantes (BASE, router 3.7 E índice estructurado) produjeron a veces una respuesta que mezcla contenido de un libro de texto genérico (perfil del egresado) presentándolo como si fuera 'lo que dice la acreditación' — el índice estructurado NO participa en este caso (structured_lookup devuelve None consistentemente), así que el origen es el Evidence/Answerability Gate de generación, no este experimento. En pruebas puntuales aisladas la misma pregunta SÍ abstiene correctamente — el comportamiento no es determinístico entre corridas (temperatura del modelo). Se documenta como riesgo abierto, no se intentó corregir por estar fuera del alcance de este mandato (índice de campos estructurados).</w:t>
      </w:r>
    </w:p>
    <w:p>
      <w:pPr>
        <w:pStyle w:val="ListBullet"/>
      </w:pPr>
      <w:r>
        <w:t>[Menor, cosmético] '¿Qué dice el sílabo sobre el docente?' (1472) produce una primera frase confusa ('No encontré información en el documento sílabo el docente') antes de responder correctamente — efecto secundario del verificador de fuente-mencionada-en-la-pregunta (fix anterior a este experimento), no relacionado con el índice estructurado.</w:t>
      </w:r>
    </w:p>
    <w:p>
      <w:pPr>
        <w:pStyle w:val="Heading1"/>
      </w:pPr>
      <w:r>
        <w:t>13. Riesgos</w:t>
      </w:r>
    </w:p>
    <w:p>
      <w:pPr>
        <w:pStyle w:val="ListBullet"/>
      </w:pPr>
      <w:r>
        <w:t>Colisión de campos homónimos con cobertura documental SIMILAR (no resuelta por el prior de cobertura, que solo desempata cuando hay diferencia clara) — no se encontró un caso real así en los dos cursos probados, pero es teóricamente posible. Mitigación futura si aparece: desambiguación semántica más fina (embeddings de nombre de campo), explícitamente dejada para una fase 2 posterior, tal como autorizó el usuario en el punto 4 del mandato.</w:t>
      </w:r>
    </w:p>
    <w:p>
      <w:pPr>
        <w:pStyle w:val="ListBullet"/>
      </w:pPr>
      <w:r>
        <w:t>El índice NO se reconstruye automáticamente al re-vectorizar — rebuild_index() debe llamarse manualmente tras cada actualización de contenido de una colección. Si se decide llevar esto a producción, hay que integrarlo al flujo de vectorización (batch y Automático).</w:t>
      </w:r>
    </w:p>
    <w:p>
      <w:pPr>
        <w:pStyle w:val="ListBullet"/>
      </w:pPr>
      <w:r>
        <w:t>coverage_weight es un hiperparámetro nuevo (0.3 + 0.7·min(docs,5)/5) calibrado con evidencia de 2 cursos — no hay garantía de que sea óptimo para un tercer curso con una distribución de documentos muy distinta; se recomienda re-validar si se prueba un tercer curso antes de cualquier despliegue.</w:t>
      </w:r>
    </w:p>
    <w:p>
      <w:pPr>
        <w:pStyle w:val="ListBullet"/>
      </w:pPr>
      <w:r>
        <w:t>El riesgo de conflación del caso A6 (punto 12) sigue abierto y es independiente de este experimento — no debe interpretarse como resuelto por el índice estructurado.</w:t>
      </w:r>
    </w:p>
    <w:p>
      <w:pPr>
        <w:pStyle w:val="ListBullet"/>
      </w:pPr>
      <w:r>
        <w:t>Ningún dato ni colección de producción fue tocado en ningún momento — todo el trabajo vive en Curso_1472_experiment_v2 / Curso_1541_experiment_v2 y en la Postgres de desarrollo.</w:t>
      </w:r>
    </w:p>
    <w:p>
      <w:pPr>
        <w:pStyle w:val="Heading1"/>
      </w:pPr>
      <w:r>
        <w:t>14. Recomendación de siguiente fase</w:t>
      </w:r>
    </w:p>
    <w:p>
      <w:r>
        <w:rPr>
          <w:b w:val="0"/>
          <w:i w:val="0"/>
        </w:rPr>
        <w:t>El índice de campos estructurados cumplió el objetivo del mandato: iguala al router 3.7 en métricas cuantitativas, generaliza a un segundo curso de temática distinta sin ninguna línea de código específica (0 reglas hardcodeadas frente a las 9 del router anterior), y el único bug real encontrado durante la prueba de generalidad fue corregido de forma igualmente genérica y sin causar regresiones.</w:t>
      </w:r>
    </w:p>
    <w:p>
      <w:r>
        <w:rPr>
          <w:b/>
          <w:i w:val="0"/>
        </w:rPr>
        <w:t>Recomendación (no ejecutada — pendiente de tu decisión, según el punto 13 del mandato):</w:t>
      </w:r>
    </w:p>
    <w:p>
      <w:pPr>
        <w:pStyle w:val="ListBullet"/>
      </w:pPr>
      <w:r>
        <w:t>Mantener AMBOS caminos activos en paralelo (use_metadata_router y use_structured_index) al menos una fase más, con el índice como default candidato a reemplazo.</w:t>
      </w:r>
    </w:p>
    <w:p>
      <w:pPr>
        <w:pStyle w:val="ListBullet"/>
      </w:pPr>
      <w:r>
        <w:t>Integrar rebuild_index() al flujo de vectorización (batch/Automático) antes de considerar cualquier uso más allá de estos dos cursos experimentales.</w:t>
      </w:r>
    </w:p>
    <w:p>
      <w:pPr>
        <w:pStyle w:val="ListBullet"/>
      </w:pPr>
      <w:r>
        <w:t>Recién con eso, y solo si el usuario lo autoriza explícitamente, planear el retiro de _METADATA_FIELD_PATTERNS/is_metadata_query/apply_metadata_query_boost.</w:t>
      </w:r>
    </w:p>
    <w:p>
      <w:pPr>
        <w:pStyle w:val="ListBullet"/>
      </w:pPr>
      <w:r>
        <w:t>Tratar el caso A6 (conflación multi-documento) como un hallazgo separado del Evidence Gate — no se tocó en este experimento y sigue abierto.</w:t>
      </w:r>
    </w:p>
    <w:p/>
    <w:p>
      <w:r>
        <w:rPr>
          <w:b/>
          <w:i w:val="0"/>
          <w:color w:val="B35C00"/>
        </w:rPr>
        <w:t>No se desplegó nada a producción. No se modificó ninguna colección de Qdrant ni base de datos productiva.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