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52F" w:rsidRDefault="0011752F">
      <w:pPr>
        <w:pStyle w:val="Body"/>
      </w:pPr>
      <w:bookmarkStart w:id="0" w:name="_GoBack"/>
      <w:bookmarkEnd w:id="0"/>
    </w:p>
    <w:p w:rsidR="0011752F" w:rsidRDefault="0011752F">
      <w:pPr>
        <w:pStyle w:val="Body"/>
        <w:rPr>
          <w:b/>
          <w:bCs/>
        </w:rPr>
      </w:pPr>
    </w:p>
    <w:p w:rsidR="0011752F" w:rsidRDefault="00F13909">
      <w:pPr>
        <w:pStyle w:val="Body"/>
        <w:rPr>
          <w:b/>
          <w:bCs/>
        </w:rPr>
      </w:pPr>
      <w:r>
        <w:rPr>
          <w:b/>
          <w:bCs/>
        </w:rPr>
        <w:t>The First Winograd Schema Challenge at IJCAI-16</w:t>
      </w:r>
    </w:p>
    <w:p w:rsidR="00591209" w:rsidRDefault="00591209">
      <w:pPr>
        <w:pStyle w:val="Body"/>
        <w:rPr>
          <w:b/>
          <w:bCs/>
        </w:rPr>
      </w:pPr>
    </w:p>
    <w:p w:rsidR="0011752F" w:rsidRPr="00591209" w:rsidRDefault="00591209">
      <w:pPr>
        <w:pStyle w:val="Body"/>
        <w:rPr>
          <w:i/>
        </w:rPr>
      </w:pPr>
      <w:r w:rsidRPr="00591209">
        <w:rPr>
          <w:i/>
        </w:rPr>
        <w:t>Ernest Davis, Leora Morgenstern, and Charles L. Ortiz, Jr.</w:t>
      </w:r>
    </w:p>
    <w:p w:rsidR="00591209" w:rsidRDefault="00591209">
      <w:pPr>
        <w:pStyle w:val="Body"/>
      </w:pPr>
    </w:p>
    <w:p w:rsidR="0011752F" w:rsidRDefault="00F13909">
      <w:pPr>
        <w:pStyle w:val="Body"/>
      </w:pPr>
      <w:r>
        <w:t>IJCAI-16 marked the first running of the Winograd Schema Challenge, sponsored by Nuance Communications. The Winograd Schema Challenge was originally conceived by Hector Levesque (Levesque, 2011; Levesque, Davis, and Morgenstern, 2012) as an alternative to the Turing Test that has clear criteria for success and doesn</w:t>
      </w:r>
      <w:r>
        <w:rPr>
          <w:rFonts w:ascii="Arial Unicode MS" w:hAnsi="Helvetica"/>
        </w:rPr>
        <w:t>’</w:t>
      </w:r>
      <w:r>
        <w:t>t rely on deception. Six systems were entered, exploiting a variety of technologies. None were able to advance from the first round to the second and final round.</w:t>
      </w:r>
    </w:p>
    <w:p w:rsidR="0011752F" w:rsidRDefault="0011752F">
      <w:pPr>
        <w:pStyle w:val="Body"/>
      </w:pPr>
    </w:p>
    <w:p w:rsidR="0011752F" w:rsidRDefault="00F13909">
      <w:pPr>
        <w:pStyle w:val="Body"/>
      </w:pPr>
      <w:r>
        <w:t xml:space="preserve">The Winograd Schema Challenge is concerned with </w:t>
      </w:r>
      <w:r w:rsidR="00A779B7">
        <w:t xml:space="preserve">finding the referents of </w:t>
      </w:r>
      <w:r>
        <w:t xml:space="preserve">pronouns, or solving the </w:t>
      </w:r>
      <w:r>
        <w:rPr>
          <w:i/>
          <w:iCs/>
        </w:rPr>
        <w:t>pronoun disambiguation problem</w:t>
      </w:r>
      <w:r>
        <w:t>. Doing this correctly appears to rely on having a solid base of commonsense knowledge and the ability to reason intelligently with that knowledge. This can be seen from considering an example of a Winograd schema</w:t>
      </w:r>
      <w:r w:rsidR="00C36359">
        <w:t>. Like all Winograd sch</w:t>
      </w:r>
      <w:r w:rsidR="0060687F">
        <w:t>emas, it consists of two halves:</w:t>
      </w:r>
    </w:p>
    <w:p w:rsidR="0011752F" w:rsidRDefault="0011752F">
      <w:pPr>
        <w:pStyle w:val="Body"/>
      </w:pPr>
    </w:p>
    <w:p w:rsidR="0011752F" w:rsidRDefault="00F13909">
      <w:pPr>
        <w:pStyle w:val="Body"/>
      </w:pPr>
      <w:r>
        <w:t xml:space="preserve">[1]John took the water bottle out of the backpack so that </w:t>
      </w:r>
      <w:r w:rsidRPr="00591209">
        <w:rPr>
          <w:b/>
          <w:bCs/>
          <w:i/>
        </w:rPr>
        <w:t>it</w:t>
      </w:r>
      <w:r>
        <w:rPr>
          <w:b/>
          <w:bCs/>
        </w:rPr>
        <w:t xml:space="preserve"> </w:t>
      </w:r>
      <w:r>
        <w:t>would be lighter.</w:t>
      </w:r>
    </w:p>
    <w:p w:rsidR="0011752F" w:rsidRDefault="00591209">
      <w:pPr>
        <w:pStyle w:val="Body"/>
      </w:pPr>
      <w:r>
        <w:t>[2]</w:t>
      </w:r>
      <w:r w:rsidR="00F13909">
        <w:t xml:space="preserve">John took the water bottle out of the backpack so that </w:t>
      </w:r>
      <w:r w:rsidR="00F13909" w:rsidRPr="00591209">
        <w:rPr>
          <w:b/>
          <w:bCs/>
          <w:i/>
        </w:rPr>
        <w:t>it</w:t>
      </w:r>
      <w:r w:rsidR="00F13909">
        <w:rPr>
          <w:b/>
          <w:bCs/>
        </w:rPr>
        <w:t xml:space="preserve"> </w:t>
      </w:r>
      <w:r w:rsidR="00F13909">
        <w:t>would be handy.</w:t>
      </w:r>
    </w:p>
    <w:p w:rsidR="0011752F" w:rsidRDefault="0011752F">
      <w:pPr>
        <w:pStyle w:val="Body"/>
      </w:pPr>
    </w:p>
    <w:p w:rsidR="0011752F" w:rsidRDefault="00F13909">
      <w:pPr>
        <w:pStyle w:val="Body"/>
      </w:pPr>
      <w:r>
        <w:t xml:space="preserve">The referent of </w:t>
      </w:r>
      <w:r>
        <w:rPr>
          <w:i/>
          <w:iCs/>
        </w:rPr>
        <w:t xml:space="preserve">it </w:t>
      </w:r>
      <w:r>
        <w:t xml:space="preserve">in [1] is the backpack; the referent of </w:t>
      </w:r>
      <w:r>
        <w:rPr>
          <w:i/>
          <w:iCs/>
        </w:rPr>
        <w:t>it</w:t>
      </w:r>
      <w:r>
        <w:rPr>
          <w:b/>
          <w:bCs/>
          <w:i/>
          <w:iCs/>
        </w:rPr>
        <w:t xml:space="preserve"> </w:t>
      </w:r>
      <w:r>
        <w:t xml:space="preserve">in [2] is the water bottle. A human can easily figure out the referent of </w:t>
      </w:r>
      <w:r>
        <w:rPr>
          <w:i/>
          <w:iCs/>
        </w:rPr>
        <w:t xml:space="preserve">it </w:t>
      </w:r>
      <w:r>
        <w:t>in [1] because it is commonsense knowledge that when one takes an object out of a container, the object</w:t>
      </w:r>
      <w:r>
        <w:rPr>
          <w:rFonts w:ascii="Arial Unicode MS" w:hAnsi="Helvetica"/>
        </w:rPr>
        <w:t>’</w:t>
      </w:r>
      <w:r>
        <w:t xml:space="preserve">s weight remains the same, but the container weighs less. The human can figure out the referent of </w:t>
      </w:r>
      <w:r>
        <w:rPr>
          <w:i/>
          <w:iCs/>
        </w:rPr>
        <w:t xml:space="preserve">it </w:t>
      </w:r>
      <w:r>
        <w:t>in [2] because it is commonsense knowledge that nearly all objects are handier when they are out of, rather than in, a bulky container like a backpack. This simple example draws on commonsense concepts such as weight,</w:t>
      </w:r>
      <w:r w:rsidR="00BA5BF3">
        <w:t xml:space="preserve"> </w:t>
      </w:r>
      <w:r>
        <w:t>containment, and convenience that intelligent people typically use during their daily lives.</w:t>
      </w:r>
    </w:p>
    <w:p w:rsidR="0011752F" w:rsidRDefault="0011752F">
      <w:pPr>
        <w:pStyle w:val="Body"/>
      </w:pPr>
    </w:p>
    <w:p w:rsidR="0011752F" w:rsidRDefault="00F13909">
      <w:pPr>
        <w:pStyle w:val="Body"/>
      </w:pPr>
      <w:r>
        <w:t xml:space="preserve">Sentences [1] and [2] are nearly identical except for a pair of </w:t>
      </w:r>
      <w:r>
        <w:rPr>
          <w:i/>
          <w:iCs/>
        </w:rPr>
        <w:t xml:space="preserve">special words or phrases; </w:t>
      </w:r>
      <w:r>
        <w:t xml:space="preserve">it is the choice of the special word or phrase </w:t>
      </w:r>
      <w:r>
        <w:rPr>
          <w:rFonts w:ascii="Arial Unicode MS" w:hAnsi="Helvetica"/>
        </w:rPr>
        <w:t>—</w:t>
      </w:r>
      <w:r>
        <w:t xml:space="preserve">- in this case lighter / handy </w:t>
      </w:r>
      <w:r>
        <w:rPr>
          <w:rFonts w:ascii="Arial Unicode MS" w:hAnsi="Helvetica"/>
        </w:rPr>
        <w:t>—</w:t>
      </w:r>
      <w:r>
        <w:t>- that changes the referent of the pronoun. All Winograd schemas have this property: This ensures that one can</w:t>
      </w:r>
      <w:r w:rsidR="0060687F">
        <w:t>not</w:t>
      </w:r>
      <w:r>
        <w:t xml:space="preserve"> exploit properties of the structure of a particular sentence to guess at a pronoun</w:t>
      </w:r>
      <w:r>
        <w:rPr>
          <w:rFonts w:ascii="Arial Unicode MS" w:hAnsi="Helvetica"/>
        </w:rPr>
        <w:t>’</w:t>
      </w:r>
      <w:r>
        <w:t xml:space="preserve">s referent in the absence of commonsense knowledge. </w:t>
      </w:r>
    </w:p>
    <w:p w:rsidR="0011752F" w:rsidRDefault="0011752F">
      <w:pPr>
        <w:pStyle w:val="Body"/>
      </w:pPr>
    </w:p>
    <w:p w:rsidR="0011752F" w:rsidRDefault="00F13909">
      <w:pPr>
        <w:pStyle w:val="Body"/>
      </w:pPr>
      <w:r>
        <w:t xml:space="preserve">The Winograd Schema Challenge Competition consists of two tests. The first test </w:t>
      </w:r>
      <w:r w:rsidR="007D0D2A">
        <w:t>is comprised of</w:t>
      </w:r>
      <w:r>
        <w:t xml:space="preserve"> pronoun disambiguation problems</w:t>
      </w:r>
      <w:r w:rsidR="007D0D2A">
        <w:t>, most of which have been collected from naturally occurring text in fiction or non-fiction</w:t>
      </w:r>
      <w:r w:rsidR="00FE156C">
        <w:t>, but</w:t>
      </w:r>
      <w:r w:rsidR="007D0D2A">
        <w:t xml:space="preserve"> for which a companion schema and associated special word or phrase</w:t>
      </w:r>
      <w:r w:rsidR="00FE156C">
        <w:t xml:space="preserve"> </w:t>
      </w:r>
      <w:r>
        <w:t>are not necessarily</w:t>
      </w:r>
      <w:r w:rsidR="007D0D2A">
        <w:t xml:space="preserve"> known</w:t>
      </w:r>
      <w:r>
        <w:t xml:space="preserve">. An example (from </w:t>
      </w:r>
      <w:r>
        <w:rPr>
          <w:rFonts w:ascii="Arial Unicode MS" w:hAnsi="Helvetica"/>
        </w:rPr>
        <w:t>“</w:t>
      </w:r>
      <w:r>
        <w:t>Sylvester and the Magic Pebble</w:t>
      </w:r>
      <w:r>
        <w:rPr>
          <w:rFonts w:ascii="Arial Unicode MS" w:hAnsi="Helvetica"/>
        </w:rPr>
        <w:t>”</w:t>
      </w:r>
      <w:r>
        <w:t xml:space="preserve">) is: </w:t>
      </w:r>
    </w:p>
    <w:p w:rsidR="0011752F" w:rsidRDefault="0011752F">
      <w:pPr>
        <w:pStyle w:val="Body"/>
      </w:pPr>
    </w:p>
    <w:p w:rsidR="0011752F" w:rsidRDefault="00F13909">
      <w:pPr>
        <w:pStyle w:val="Body"/>
      </w:pPr>
      <w:r>
        <w:t>[3] The donkey wished a wart on its hind leg would disappear, and it did. [</w:t>
      </w:r>
      <w:r>
        <w:rPr>
          <w:rFonts w:ascii="Arial Unicode MS" w:hAnsi="Helvetica"/>
        </w:rPr>
        <w:t>“</w:t>
      </w:r>
      <w:r>
        <w:t>It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 xml:space="preserve">refers to </w:t>
      </w:r>
      <w:r>
        <w:rPr>
          <w:rFonts w:ascii="Arial Unicode MS" w:hAnsi="Helvetica"/>
        </w:rPr>
        <w:t>“</w:t>
      </w:r>
      <w:r>
        <w:t>wart</w:t>
      </w:r>
      <w:r w:rsidR="00A779B7">
        <w:t>,</w:t>
      </w:r>
      <w:r>
        <w:rPr>
          <w:rFonts w:ascii="Arial Unicode MS" w:hAnsi="Helvetica"/>
        </w:rPr>
        <w:t>”</w:t>
      </w:r>
      <w:r w:rsidR="00A779B7">
        <w:rPr>
          <w:rFonts w:ascii="Arial Unicode MS" w:hAnsi="Helvetica"/>
        </w:rPr>
        <w:t xml:space="preserve"> rather than </w:t>
      </w:r>
      <w:r w:rsidR="00A779B7">
        <w:rPr>
          <w:rFonts w:ascii="Arial Unicode MS" w:hAnsi="Helvetica"/>
        </w:rPr>
        <w:t>“</w:t>
      </w:r>
      <w:r w:rsidR="00A779B7">
        <w:rPr>
          <w:rFonts w:ascii="Arial Unicode MS" w:hAnsi="Helvetica"/>
        </w:rPr>
        <w:t>donkey</w:t>
      </w:r>
      <w:r w:rsidR="00A779B7">
        <w:rPr>
          <w:rFonts w:ascii="Arial Unicode MS" w:hAnsi="Helvetica"/>
        </w:rPr>
        <w:t>”</w:t>
      </w:r>
      <w:r w:rsidR="00A779B7">
        <w:rPr>
          <w:rFonts w:ascii="Arial Unicode MS" w:hAnsi="Helvetica"/>
        </w:rPr>
        <w:t xml:space="preserve"> or </w:t>
      </w:r>
      <w:r w:rsidR="00A779B7">
        <w:rPr>
          <w:rFonts w:ascii="Arial Unicode MS" w:hAnsi="Helvetica"/>
        </w:rPr>
        <w:t>“</w:t>
      </w:r>
      <w:r w:rsidR="00A779B7">
        <w:rPr>
          <w:rFonts w:ascii="Arial Unicode MS" w:hAnsi="Helvetica"/>
        </w:rPr>
        <w:t>leg</w:t>
      </w:r>
      <w:r w:rsidR="00A779B7">
        <w:rPr>
          <w:rFonts w:ascii="Arial Unicode MS" w:hAnsi="Helvetica"/>
        </w:rPr>
        <w:t>”</w:t>
      </w:r>
      <w:r w:rsidR="00A779B7">
        <w:rPr>
          <w:rFonts w:ascii="Arial Unicode MS" w:hAnsi="Helvetica"/>
        </w:rPr>
        <w:t>.</w:t>
      </w:r>
      <w:r>
        <w:t>]</w:t>
      </w:r>
    </w:p>
    <w:p w:rsidR="0011752F" w:rsidRDefault="0011752F">
      <w:pPr>
        <w:pStyle w:val="Body"/>
      </w:pPr>
    </w:p>
    <w:p w:rsidR="0011752F" w:rsidRDefault="00F13909">
      <w:pPr>
        <w:pStyle w:val="Body"/>
      </w:pPr>
      <w:r>
        <w:t>The second test contains randomly chosen halves of Winograd Schemas. A system takes the second test only if it does sufficiently well on the first test. If a system can pass both tests with a mark of at least 90% and no less than 5% worse than human performance, it is eligible to win the challenge prize of $25,000.</w:t>
      </w:r>
      <w:r w:rsidR="0060687F">
        <w:t xml:space="preserve"> </w:t>
      </w:r>
      <w:r w:rsidR="0060687F">
        <w:t>The competit</w:t>
      </w:r>
      <w:r w:rsidR="005D2493">
        <w:t xml:space="preserve">ion has been divided into </w:t>
      </w:r>
      <w:r w:rsidR="0060687F">
        <w:t>tw</w:t>
      </w:r>
      <w:r w:rsidR="0060687F">
        <w:t xml:space="preserve">o rounds because it is </w:t>
      </w:r>
      <w:r w:rsidR="0060687F">
        <w:lastRenderedPageBreak/>
        <w:t>more di</w:t>
      </w:r>
      <w:r w:rsidR="0060687F">
        <w:t xml:space="preserve">fficult to manually create Winograd schemas than to collect pronoun disambiguation problems. </w:t>
      </w:r>
    </w:p>
    <w:p w:rsidR="0011752F" w:rsidRDefault="0011752F">
      <w:pPr>
        <w:pStyle w:val="Body"/>
      </w:pPr>
    </w:p>
    <w:p w:rsidR="00773E5D" w:rsidRDefault="00F13909">
      <w:pPr>
        <w:pStyle w:val="Body"/>
      </w:pPr>
      <w:r>
        <w:t>There were six systems entered into the 2016 competition, rep</w:t>
      </w:r>
      <w:r w:rsidR="00773E5D">
        <w:t xml:space="preserve">resenting four different teams. </w:t>
      </w:r>
      <w:r>
        <w:t>The table below summarizes</w:t>
      </w:r>
      <w:r w:rsidR="005D2493">
        <w:t xml:space="preserve"> </w:t>
      </w:r>
      <w:r>
        <w:t>their results.</w:t>
      </w:r>
      <w:r w:rsidR="005D2493">
        <w:t xml:space="preserve"> The asterisks for </w:t>
      </w:r>
      <w:r w:rsidR="00FE156C">
        <w:t xml:space="preserve">Quan </w:t>
      </w:r>
      <w:r w:rsidR="005D2493">
        <w:t>Liu</w:t>
      </w:r>
      <w:r w:rsidR="005D2493">
        <w:t>’</w:t>
      </w:r>
      <w:r w:rsidR="005D2493">
        <w:t>s three systems</w:t>
      </w:r>
      <w:r w:rsidR="00FE156C">
        <w:t xml:space="preserve"> are</w:t>
      </w:r>
      <w:r w:rsidR="005D2493">
        <w:t xml:space="preserve"> due to a problem with unexpected punctua</w:t>
      </w:r>
      <w:r w:rsidR="00FE156C">
        <w:t xml:space="preserve">tion in XML input and that </w:t>
      </w:r>
      <w:r w:rsidR="005D2493">
        <w:t>affected a handful of questions. The starred scores represent performance on</w:t>
      </w:r>
      <w:r w:rsidR="00773E5D">
        <w:t xml:space="preserve"> the corrected XML input files.</w:t>
      </w:r>
      <w:r w:rsidR="005D2493">
        <w:t xml:space="preserve">  </w:t>
      </w:r>
      <w:r>
        <w:t xml:space="preserve"> </w:t>
      </w:r>
    </w:p>
    <w:p w:rsidR="00773E5D" w:rsidRDefault="00773E5D">
      <w:pPr>
        <w:pStyle w:val="Body"/>
      </w:pPr>
    </w:p>
    <w:p w:rsidR="0011752F" w:rsidRDefault="00A779B7">
      <w:pPr>
        <w:pStyle w:val="Body"/>
      </w:pPr>
      <w:r>
        <w:t>No team did well enough on the first test to qualify for the second test, so the second test was not given.  The list of problems can be found at http://www.commonsensereasoning.org.</w:t>
      </w:r>
    </w:p>
    <w:p w:rsidR="00A779B7" w:rsidRDefault="00A779B7">
      <w:pPr>
        <w:pStyle w:val="Body"/>
      </w:pPr>
    </w:p>
    <w:p w:rsidR="00A779B7" w:rsidRDefault="00A779B7">
      <w:pPr>
        <w:pStyle w:val="Body"/>
      </w:pPr>
      <w:r>
        <w:t xml:space="preserve">The problems on both parts of the competition were validated on human subjects in advance.  The human subjects achieved better than 90% accuracy. </w:t>
      </w:r>
    </w:p>
    <w:p w:rsidR="0011752F" w:rsidRDefault="0011752F">
      <w:pPr>
        <w:pStyle w:val="Body"/>
      </w:pPr>
    </w:p>
    <w:p w:rsidR="005D2493" w:rsidRDefault="005D2493">
      <w:pPr>
        <w:pStyle w:val="Body"/>
      </w:pPr>
    </w:p>
    <w:tbl>
      <w:tblPr>
        <w:tblW w:w="11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74"/>
        <w:gridCol w:w="2632"/>
        <w:gridCol w:w="3954"/>
      </w:tblGrid>
      <w:tr w:rsidR="005D2493" w:rsidRPr="006D24A3" w:rsidTr="00773E5D">
        <w:trPr>
          <w:trHeight w:val="584"/>
        </w:trPr>
        <w:tc>
          <w:tcPr>
            <w:tcW w:w="5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A6B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493" w:rsidRPr="006D24A3" w:rsidRDefault="005D2493" w:rsidP="00E71961">
            <w:pPr>
              <w:pStyle w:val="Body"/>
            </w:pPr>
            <w:r w:rsidRPr="006D24A3">
              <w:rPr>
                <w:b/>
                <w:bCs/>
              </w:rPr>
              <w:t>Contestant</w:t>
            </w:r>
          </w:p>
        </w:tc>
        <w:tc>
          <w:tcPr>
            <w:tcW w:w="26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A6B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493" w:rsidRPr="006D24A3" w:rsidRDefault="005D2493" w:rsidP="00E71961">
            <w:pPr>
              <w:pStyle w:val="Body"/>
            </w:pPr>
            <w:r w:rsidRPr="006D24A3">
              <w:rPr>
                <w:b/>
                <w:bCs/>
              </w:rPr>
              <w:t>Number correct</w:t>
            </w:r>
          </w:p>
        </w:tc>
        <w:tc>
          <w:tcPr>
            <w:tcW w:w="39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A6B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493" w:rsidRPr="006D24A3" w:rsidRDefault="005D2493" w:rsidP="00E71961">
            <w:pPr>
              <w:pStyle w:val="Body"/>
            </w:pPr>
            <w:r w:rsidRPr="006D24A3">
              <w:rPr>
                <w:b/>
                <w:bCs/>
              </w:rPr>
              <w:t>Percentage correct</w:t>
            </w:r>
          </w:p>
        </w:tc>
      </w:tr>
      <w:tr w:rsidR="005D2493" w:rsidRPr="006D24A3" w:rsidTr="00773E5D">
        <w:trPr>
          <w:trHeight w:val="584"/>
        </w:trPr>
        <w:tc>
          <w:tcPr>
            <w:tcW w:w="52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493" w:rsidRDefault="005D2493" w:rsidP="00E71961">
            <w:pPr>
              <w:pStyle w:val="Body"/>
            </w:pPr>
            <w:r w:rsidRPr="006D24A3">
              <w:t>Patrick Dhondt</w:t>
            </w:r>
          </w:p>
          <w:p w:rsidR="00773E5D" w:rsidRPr="006D24A3" w:rsidRDefault="00773E5D" w:rsidP="00E71961">
            <w:pPr>
              <w:pStyle w:val="Body"/>
            </w:pPr>
            <w:r>
              <w:t>Independent Researcher</w:t>
            </w:r>
          </w:p>
        </w:tc>
        <w:tc>
          <w:tcPr>
            <w:tcW w:w="26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493" w:rsidRPr="006D24A3" w:rsidRDefault="005D2493" w:rsidP="00E71961">
            <w:pPr>
              <w:pStyle w:val="Body"/>
            </w:pPr>
            <w:r w:rsidRPr="006D24A3">
              <w:t>27</w:t>
            </w:r>
          </w:p>
        </w:tc>
        <w:tc>
          <w:tcPr>
            <w:tcW w:w="39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493" w:rsidRPr="006D24A3" w:rsidRDefault="005D2493" w:rsidP="00E71961">
            <w:pPr>
              <w:pStyle w:val="Body"/>
            </w:pPr>
            <w:r w:rsidRPr="006D24A3">
              <w:t>45%</w:t>
            </w:r>
          </w:p>
        </w:tc>
      </w:tr>
      <w:tr w:rsidR="005D2493" w:rsidRPr="006D24A3" w:rsidTr="00773E5D">
        <w:trPr>
          <w:trHeight w:val="584"/>
        </w:trPr>
        <w:tc>
          <w:tcPr>
            <w:tcW w:w="52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493" w:rsidRDefault="005D2493" w:rsidP="00E71961">
            <w:pPr>
              <w:pStyle w:val="Body"/>
            </w:pPr>
            <w:r w:rsidRPr="006D24A3">
              <w:t>Denis Robert</w:t>
            </w:r>
          </w:p>
          <w:p w:rsidR="00773E5D" w:rsidRPr="006D24A3" w:rsidRDefault="00773E5D" w:rsidP="00E71961">
            <w:pPr>
              <w:pStyle w:val="Body"/>
            </w:pPr>
            <w:r>
              <w:t>Independent Researcher</w:t>
            </w:r>
          </w:p>
        </w:tc>
        <w:tc>
          <w:tcPr>
            <w:tcW w:w="2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493" w:rsidRPr="006D24A3" w:rsidRDefault="005D2493" w:rsidP="00E71961">
            <w:pPr>
              <w:pStyle w:val="Body"/>
            </w:pPr>
            <w:r w:rsidRPr="006D24A3">
              <w:t>19</w:t>
            </w:r>
          </w:p>
        </w:tc>
        <w:tc>
          <w:tcPr>
            <w:tcW w:w="3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493" w:rsidRPr="006D24A3" w:rsidRDefault="005D2493" w:rsidP="00E71961">
            <w:pPr>
              <w:pStyle w:val="Body"/>
            </w:pPr>
            <w:r w:rsidRPr="006D24A3">
              <w:t>31.666%</w:t>
            </w:r>
          </w:p>
        </w:tc>
      </w:tr>
      <w:tr w:rsidR="005D2493" w:rsidRPr="006D24A3" w:rsidTr="00773E5D">
        <w:trPr>
          <w:trHeight w:val="584"/>
        </w:trPr>
        <w:tc>
          <w:tcPr>
            <w:tcW w:w="52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493" w:rsidRDefault="005D2493" w:rsidP="00E71961">
            <w:pPr>
              <w:pStyle w:val="Body"/>
            </w:pPr>
            <w:r w:rsidRPr="006D24A3">
              <w:t>Nicos Issak</w:t>
            </w:r>
          </w:p>
          <w:p w:rsidR="00773E5D" w:rsidRPr="006D24A3" w:rsidRDefault="00773E5D" w:rsidP="00E71961">
            <w:pPr>
              <w:pStyle w:val="Body"/>
            </w:pPr>
            <w:r>
              <w:t>Open University of Cyprus</w:t>
            </w:r>
          </w:p>
        </w:tc>
        <w:tc>
          <w:tcPr>
            <w:tcW w:w="2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493" w:rsidRPr="006D24A3" w:rsidRDefault="005D2493" w:rsidP="00E71961">
            <w:pPr>
              <w:pStyle w:val="Body"/>
            </w:pPr>
            <w:r w:rsidRPr="006D24A3">
              <w:t>29</w:t>
            </w:r>
          </w:p>
        </w:tc>
        <w:tc>
          <w:tcPr>
            <w:tcW w:w="3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493" w:rsidRPr="006D24A3" w:rsidRDefault="005D2493" w:rsidP="00E71961">
            <w:pPr>
              <w:pStyle w:val="Body"/>
            </w:pPr>
            <w:r w:rsidRPr="006D24A3">
              <w:t>48.33%</w:t>
            </w:r>
          </w:p>
        </w:tc>
      </w:tr>
      <w:tr w:rsidR="005D2493" w:rsidRPr="006D24A3" w:rsidTr="00773E5D">
        <w:trPr>
          <w:trHeight w:val="584"/>
        </w:trPr>
        <w:tc>
          <w:tcPr>
            <w:tcW w:w="52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493" w:rsidRDefault="005D2493" w:rsidP="00E71961">
            <w:pPr>
              <w:pStyle w:val="Body"/>
            </w:pPr>
            <w:r w:rsidRPr="006D24A3">
              <w:t>Quan Liu (1)</w:t>
            </w:r>
          </w:p>
          <w:p w:rsidR="00773E5D" w:rsidRPr="006D24A3" w:rsidRDefault="00773E5D" w:rsidP="00E71961">
            <w:pPr>
              <w:pStyle w:val="Body"/>
            </w:pPr>
            <w:r>
              <w:t>University of Science and Technology of China</w:t>
            </w:r>
          </w:p>
        </w:tc>
        <w:tc>
          <w:tcPr>
            <w:tcW w:w="2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493" w:rsidRPr="006D24A3" w:rsidRDefault="005D2493" w:rsidP="00E71961">
            <w:pPr>
              <w:pStyle w:val="Body"/>
            </w:pPr>
            <w:r w:rsidRPr="006D24A3">
              <w:t>28</w:t>
            </w:r>
          </w:p>
        </w:tc>
        <w:tc>
          <w:tcPr>
            <w:tcW w:w="3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493" w:rsidRPr="006D24A3" w:rsidRDefault="005D2493" w:rsidP="00E71961">
            <w:pPr>
              <w:pStyle w:val="Body"/>
            </w:pPr>
            <w:r w:rsidRPr="006D24A3">
              <w:t>46.9% (48.33)*</w:t>
            </w:r>
          </w:p>
        </w:tc>
      </w:tr>
      <w:tr w:rsidR="005D2493" w:rsidRPr="006D24A3" w:rsidTr="00773E5D">
        <w:trPr>
          <w:trHeight w:val="584"/>
        </w:trPr>
        <w:tc>
          <w:tcPr>
            <w:tcW w:w="52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493" w:rsidRDefault="005D2493" w:rsidP="00E71961">
            <w:pPr>
              <w:pStyle w:val="Body"/>
            </w:pPr>
            <w:r w:rsidRPr="006D24A3">
              <w:t>Quan Liu (2)</w:t>
            </w:r>
          </w:p>
          <w:p w:rsidR="00773E5D" w:rsidRPr="006D24A3" w:rsidRDefault="00773E5D" w:rsidP="00E71961">
            <w:pPr>
              <w:pStyle w:val="Body"/>
            </w:pPr>
            <w:r>
              <w:t>University of Science and Technology of China</w:t>
            </w:r>
          </w:p>
        </w:tc>
        <w:tc>
          <w:tcPr>
            <w:tcW w:w="2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493" w:rsidRPr="006D24A3" w:rsidRDefault="005D2493" w:rsidP="00E71961">
            <w:pPr>
              <w:pStyle w:val="Body"/>
            </w:pPr>
            <w:r w:rsidRPr="006D24A3">
              <w:t>29</w:t>
            </w:r>
          </w:p>
        </w:tc>
        <w:tc>
          <w:tcPr>
            <w:tcW w:w="3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493" w:rsidRPr="006D24A3" w:rsidRDefault="005D2493" w:rsidP="00E71961">
            <w:pPr>
              <w:pStyle w:val="Body"/>
            </w:pPr>
            <w:r w:rsidRPr="006D24A3">
              <w:t>48.33% (58.33)*</w:t>
            </w:r>
          </w:p>
        </w:tc>
      </w:tr>
      <w:tr w:rsidR="005D2493" w:rsidRPr="006D24A3" w:rsidTr="00773E5D">
        <w:trPr>
          <w:trHeight w:val="584"/>
        </w:trPr>
        <w:tc>
          <w:tcPr>
            <w:tcW w:w="52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493" w:rsidRDefault="005D2493" w:rsidP="00E71961">
            <w:pPr>
              <w:pStyle w:val="Body"/>
            </w:pPr>
            <w:r w:rsidRPr="006D24A3">
              <w:t>Quan Liu (3)</w:t>
            </w:r>
          </w:p>
          <w:p w:rsidR="00773E5D" w:rsidRPr="006D24A3" w:rsidRDefault="00773E5D" w:rsidP="00E71961">
            <w:pPr>
              <w:pStyle w:val="Body"/>
            </w:pPr>
            <w:r>
              <w:t>University of Science and Technology of China</w:t>
            </w:r>
          </w:p>
        </w:tc>
        <w:tc>
          <w:tcPr>
            <w:tcW w:w="2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493" w:rsidRPr="006D24A3" w:rsidRDefault="005D2493" w:rsidP="00E71961">
            <w:pPr>
              <w:pStyle w:val="Body"/>
            </w:pPr>
            <w:r w:rsidRPr="006D24A3">
              <w:t>27</w:t>
            </w:r>
          </w:p>
        </w:tc>
        <w:tc>
          <w:tcPr>
            <w:tcW w:w="3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493" w:rsidRPr="006D24A3" w:rsidRDefault="005D2493" w:rsidP="00E71961">
            <w:pPr>
              <w:pStyle w:val="Body"/>
            </w:pPr>
            <w:r w:rsidRPr="006D24A3">
              <w:t>45% (58.33)*</w:t>
            </w:r>
          </w:p>
        </w:tc>
      </w:tr>
    </w:tbl>
    <w:p w:rsidR="0011752F" w:rsidRDefault="0011752F">
      <w:pPr>
        <w:pStyle w:val="Body"/>
      </w:pPr>
    </w:p>
    <w:p w:rsidR="0011752F" w:rsidRDefault="0011752F">
      <w:pPr>
        <w:pStyle w:val="Body"/>
      </w:pPr>
    </w:p>
    <w:p w:rsidR="0011752F" w:rsidRDefault="00F13909">
      <w:pPr>
        <w:pStyle w:val="Body"/>
      </w:pPr>
      <w:r>
        <w:t>The next Winograd Schema Challenge will take place at AAAI 2018. Further information will be available at http://www.commonsensereasoning.org.</w:t>
      </w:r>
    </w:p>
    <w:p w:rsidR="0011752F" w:rsidRDefault="0011752F">
      <w:pPr>
        <w:pStyle w:val="Body"/>
      </w:pPr>
    </w:p>
    <w:p w:rsidR="0011752F" w:rsidRDefault="00FE156C">
      <w:pPr>
        <w:pStyle w:val="Body"/>
        <w:rPr>
          <w:b/>
        </w:rPr>
      </w:pPr>
      <w:r>
        <w:rPr>
          <w:b/>
        </w:rPr>
        <w:t>References:</w:t>
      </w:r>
    </w:p>
    <w:p w:rsidR="00FE156C" w:rsidRDefault="00FE156C">
      <w:pPr>
        <w:pStyle w:val="Body"/>
        <w:rPr>
          <w:b/>
        </w:rPr>
      </w:pPr>
    </w:p>
    <w:p w:rsidR="00FE156C" w:rsidRPr="00773E5D" w:rsidRDefault="00FE156C">
      <w:pPr>
        <w:pStyle w:val="Body"/>
        <w:rPr>
          <w:rFonts w:ascii="Arial" w:hAnsi="Arial" w:cs="Arial"/>
          <w:color w:val="auto"/>
          <w:lang w:val="en"/>
        </w:rPr>
      </w:pPr>
      <w:r w:rsidRPr="00773E5D">
        <w:rPr>
          <w:rStyle w:val="this-person"/>
          <w:rFonts w:ascii="Arial" w:hAnsi="Arial" w:cs="Arial"/>
          <w:color w:val="auto"/>
          <w:lang w:val="en"/>
        </w:rPr>
        <w:t>Hector J. Levesque</w:t>
      </w:r>
      <w:r w:rsidRPr="00773E5D">
        <w:rPr>
          <w:rFonts w:ascii="Arial" w:hAnsi="Arial" w:cs="Arial"/>
          <w:color w:val="auto"/>
          <w:lang w:val="en"/>
        </w:rPr>
        <w:t>:</w:t>
      </w:r>
      <w:r w:rsidR="00BA6EA8" w:rsidRPr="00773E5D">
        <w:rPr>
          <w:rFonts w:ascii="Arial" w:hAnsi="Arial" w:cs="Arial"/>
          <w:color w:val="auto"/>
          <w:lang w:val="en"/>
        </w:rPr>
        <w:t xml:space="preserve"> </w:t>
      </w:r>
      <w:r w:rsidRPr="00773E5D">
        <w:rPr>
          <w:rFonts w:ascii="Arial" w:hAnsi="Arial" w:cs="Arial"/>
          <w:bCs/>
          <w:color w:val="auto"/>
          <w:lang w:val="en"/>
        </w:rPr>
        <w:t>The Winograd Schema Challenge</w:t>
      </w:r>
      <w:r w:rsidRPr="00773E5D">
        <w:rPr>
          <w:rFonts w:ascii="Arial" w:hAnsi="Arial" w:cs="Arial"/>
          <w:b/>
          <w:bCs/>
          <w:color w:val="auto"/>
          <w:lang w:val="en"/>
        </w:rPr>
        <w:t>.</w:t>
      </w:r>
      <w:r w:rsidRPr="00773E5D">
        <w:rPr>
          <w:rFonts w:ascii="Arial" w:hAnsi="Arial" w:cs="Arial"/>
          <w:color w:val="auto"/>
          <w:lang w:val="en"/>
        </w:rPr>
        <w:t xml:space="preserve"> </w:t>
      </w:r>
      <w:hyperlink r:id="rId6" w:anchor="Levesque11" w:history="1">
        <w:r w:rsidRPr="00773E5D">
          <w:rPr>
            <w:rStyle w:val="Hyperlink"/>
            <w:rFonts w:ascii="Arial" w:hAnsi="Arial" w:cs="Arial"/>
            <w:color w:val="auto"/>
            <w:lang w:val="en"/>
          </w:rPr>
          <w:t>AAAI Spring Symposium: Logical Formalizations of Commonsense Reasoning</w:t>
        </w:r>
        <w:r w:rsidR="00BA6EA8" w:rsidRPr="00773E5D">
          <w:rPr>
            <w:rStyle w:val="Hyperlink"/>
            <w:rFonts w:ascii="Arial" w:hAnsi="Arial" w:cs="Arial"/>
            <w:color w:val="auto"/>
            <w:lang w:val="en"/>
          </w:rPr>
          <w:t>,</w:t>
        </w:r>
        <w:r w:rsidRPr="00773E5D">
          <w:rPr>
            <w:rStyle w:val="Hyperlink"/>
            <w:rFonts w:ascii="Arial" w:hAnsi="Arial" w:cs="Arial"/>
            <w:color w:val="auto"/>
            <w:lang w:val="en"/>
          </w:rPr>
          <w:t xml:space="preserve"> 2011</w:t>
        </w:r>
      </w:hyperlink>
    </w:p>
    <w:p w:rsidR="00BA6EA8" w:rsidRPr="00591209" w:rsidRDefault="00BA6EA8">
      <w:pPr>
        <w:pStyle w:val="Body"/>
        <w:rPr>
          <w:rFonts w:ascii="Arial" w:hAnsi="Arial" w:cs="Arial"/>
          <w:color w:val="auto"/>
          <w:lang w:val="en"/>
        </w:rPr>
      </w:pPr>
    </w:p>
    <w:p w:rsidR="00BA6EA8" w:rsidRPr="00591209" w:rsidRDefault="00BA6EA8">
      <w:pPr>
        <w:pStyle w:val="Body"/>
        <w:rPr>
          <w:rFonts w:ascii="Arial" w:hAnsi="Arial" w:cs="Arial"/>
          <w:b/>
          <w:color w:val="auto"/>
        </w:rPr>
      </w:pPr>
      <w:r w:rsidRPr="00591209">
        <w:rPr>
          <w:rStyle w:val="this-person"/>
          <w:rFonts w:ascii="Arial" w:hAnsi="Arial" w:cs="Arial"/>
          <w:color w:val="auto"/>
          <w:lang w:val="en"/>
        </w:rPr>
        <w:t>Hector J. Levesque</w:t>
      </w:r>
      <w:r w:rsidRPr="00591209">
        <w:rPr>
          <w:rFonts w:ascii="Arial" w:hAnsi="Arial" w:cs="Arial"/>
          <w:color w:val="auto"/>
          <w:lang w:val="en"/>
        </w:rPr>
        <w:t xml:space="preserve">, </w:t>
      </w:r>
      <w:hyperlink r:id="rId7" w:history="1">
        <w:r w:rsidRPr="00591209">
          <w:rPr>
            <w:rStyle w:val="Hyperlink"/>
            <w:rFonts w:ascii="Arial" w:hAnsi="Arial" w:cs="Arial"/>
            <w:color w:val="auto"/>
            <w:lang w:val="en"/>
          </w:rPr>
          <w:t>Ernest Davis</w:t>
        </w:r>
      </w:hyperlink>
      <w:r w:rsidRPr="00591209">
        <w:rPr>
          <w:rFonts w:ascii="Arial" w:hAnsi="Arial" w:cs="Arial"/>
          <w:color w:val="auto"/>
          <w:lang w:val="en"/>
        </w:rPr>
        <w:t xml:space="preserve">, </w:t>
      </w:r>
      <w:hyperlink r:id="rId8" w:history="1">
        <w:r w:rsidRPr="00591209">
          <w:rPr>
            <w:rStyle w:val="Hyperlink"/>
            <w:rFonts w:ascii="Arial" w:hAnsi="Arial" w:cs="Arial"/>
            <w:color w:val="auto"/>
            <w:lang w:val="en"/>
          </w:rPr>
          <w:t>Leora Morgenstern</w:t>
        </w:r>
      </w:hyperlink>
      <w:r w:rsidRPr="00591209">
        <w:rPr>
          <w:rFonts w:ascii="Arial" w:hAnsi="Arial" w:cs="Arial"/>
          <w:color w:val="auto"/>
          <w:lang w:val="en"/>
        </w:rPr>
        <w:t>:</w:t>
      </w:r>
      <w:r w:rsidRPr="00591209">
        <w:rPr>
          <w:rFonts w:ascii="Arial" w:hAnsi="Arial" w:cs="Arial"/>
          <w:color w:val="auto"/>
          <w:lang w:val="en"/>
        </w:rPr>
        <w:t xml:space="preserve"> </w:t>
      </w:r>
      <w:r w:rsidRPr="00591209">
        <w:rPr>
          <w:rFonts w:ascii="Arial" w:hAnsi="Arial" w:cs="Arial"/>
          <w:bCs/>
          <w:color w:val="auto"/>
          <w:lang w:val="en"/>
        </w:rPr>
        <w:t>The</w:t>
      </w:r>
      <w:r w:rsidRPr="00591209">
        <w:rPr>
          <w:rFonts w:ascii="Arial" w:hAnsi="Arial" w:cs="Arial"/>
          <w:b/>
          <w:bCs/>
          <w:color w:val="auto"/>
          <w:lang w:val="en"/>
        </w:rPr>
        <w:t xml:space="preserve"> </w:t>
      </w:r>
      <w:r w:rsidRPr="00591209">
        <w:rPr>
          <w:rFonts w:ascii="Arial" w:hAnsi="Arial" w:cs="Arial"/>
          <w:bCs/>
          <w:color w:val="auto"/>
          <w:lang w:val="en"/>
        </w:rPr>
        <w:t>Winograd Schema Challenge</w:t>
      </w:r>
      <w:r w:rsidRPr="00591209">
        <w:rPr>
          <w:rFonts w:ascii="Arial" w:hAnsi="Arial" w:cs="Arial"/>
          <w:b/>
          <w:bCs/>
          <w:color w:val="auto"/>
          <w:lang w:val="en"/>
        </w:rPr>
        <w:t>.</w:t>
      </w:r>
      <w:r w:rsidRPr="00591209">
        <w:rPr>
          <w:rFonts w:ascii="Arial" w:hAnsi="Arial" w:cs="Arial"/>
          <w:color w:val="auto"/>
          <w:lang w:val="en"/>
        </w:rPr>
        <w:t xml:space="preserve"> </w:t>
      </w:r>
      <w:hyperlink r:id="rId9" w:anchor="LevesqueDM12" w:history="1">
        <w:r w:rsidRPr="00591209">
          <w:rPr>
            <w:rStyle w:val="Hyperlink"/>
            <w:rFonts w:ascii="Arial" w:hAnsi="Arial" w:cs="Arial"/>
            <w:color w:val="auto"/>
            <w:lang w:val="en"/>
          </w:rPr>
          <w:t>KR 2012</w:t>
        </w:r>
      </w:hyperlink>
    </w:p>
    <w:sectPr w:rsidR="00BA6EA8" w:rsidRPr="00591209" w:rsidSect="0011752F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68A" w:rsidRDefault="0010368A" w:rsidP="0011752F">
      <w:r>
        <w:separator/>
      </w:r>
    </w:p>
  </w:endnote>
  <w:endnote w:type="continuationSeparator" w:id="0">
    <w:p w:rsidR="0010368A" w:rsidRDefault="0010368A" w:rsidP="0011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68A" w:rsidRDefault="0010368A" w:rsidP="0011752F">
      <w:r>
        <w:separator/>
      </w:r>
    </w:p>
  </w:footnote>
  <w:footnote w:type="continuationSeparator" w:id="0">
    <w:p w:rsidR="0010368A" w:rsidRDefault="0010368A" w:rsidP="00117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752F"/>
    <w:rsid w:val="0010368A"/>
    <w:rsid w:val="0011752F"/>
    <w:rsid w:val="001C2E2F"/>
    <w:rsid w:val="003210C3"/>
    <w:rsid w:val="00395E47"/>
    <w:rsid w:val="00591209"/>
    <w:rsid w:val="005D2493"/>
    <w:rsid w:val="0060687F"/>
    <w:rsid w:val="006C3EF5"/>
    <w:rsid w:val="00773E5D"/>
    <w:rsid w:val="007D0D2A"/>
    <w:rsid w:val="00927CE8"/>
    <w:rsid w:val="00991393"/>
    <w:rsid w:val="00A779B7"/>
    <w:rsid w:val="00BA5BF3"/>
    <w:rsid w:val="00BA6EA8"/>
    <w:rsid w:val="00C36359"/>
    <w:rsid w:val="00F13909"/>
    <w:rsid w:val="00F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2A0E18-321E-4956-AAC1-ABF2FC8A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752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1752F"/>
    <w:rPr>
      <w:u w:val="single"/>
    </w:rPr>
  </w:style>
  <w:style w:type="paragraph" w:customStyle="1" w:styleId="Body">
    <w:name w:val="Body"/>
    <w:rsid w:val="0011752F"/>
    <w:rPr>
      <w:rFonts w:ascii="Helvetica" w:hAnsi="Arial Unicode MS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E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E47"/>
    <w:rPr>
      <w:rFonts w:ascii="Segoe UI" w:hAnsi="Segoe UI" w:cs="Segoe UI"/>
      <w:sz w:val="18"/>
      <w:szCs w:val="18"/>
    </w:rPr>
  </w:style>
  <w:style w:type="character" w:customStyle="1" w:styleId="this-person">
    <w:name w:val="this-person"/>
    <w:basedOn w:val="DefaultParagraphFont"/>
    <w:rsid w:val="00FE1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lp.uni-trier.de/pers/hd/m/Morgenstern:Leor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blp.uni-trier.de/pers/hd/d/Davis:Ern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blp.uni-trier.de/db/conf/aaaiss/aaaiss2011-6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dblp.uni-trier.de/db/conf/kr/kr2012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Morgenstern, Leora</dc:creator>
  <cp:lastModifiedBy>Morgenstern, Leora</cp:lastModifiedBy>
  <cp:revision>11</cp:revision>
  <dcterms:created xsi:type="dcterms:W3CDTF">2016-09-27T15:25:00Z</dcterms:created>
  <dcterms:modified xsi:type="dcterms:W3CDTF">2016-09-27T20:40:00Z</dcterms:modified>
</cp:coreProperties>
</file>