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LiNKtrend Digital Personnel Record (DPR) V3: The Immutable Identity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defines the final, standardized naming and identification system for all digital entities within the LiNKtrend ecosystem.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The Core Concept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 agent’s identity is separate from its current job. Just as a human employee keeps their Employee ID regardless of their promotion from "Product Owner" to "COO," a LiNKtrend agent keeps its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DPR String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its entire lifecycle.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The DPR String Structure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Every agent folder and ID must follow this exact sequence: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[TYPE]-[GRADE]-[YYMMDD]-[UUID_SHORT]-[NAME]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INT: Internal (Venture Factory staff).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EXT: External (Client-rented bots).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GRADE (Functional Baseline)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MNG: Manager-grade (Reasoning/Strategy via OpenClaw).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EXE: Executor-grade (Technical/Terminal via Agent Zero).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YYMMDD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exact "Birth Date" (Initialization date).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UUID_SHORT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unique 4-character hex code (e.g., 872F) to prevent collisions.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human-readable name for easier identification (e.g., LISA).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Example internal ID: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INT-MNG-260311-A1B2-LISA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Organizational Topology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Identity management is split across two distinct repositories to maintain a "Venture Factory" firewall: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Repository 1: /linktrend-aios (Internal Operations)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/agents/internal/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Sub-folders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managers/ and workers/.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Example Folder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/agents/internal/managers/INT-MNG-260311-0001-CARLOS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Repository 2: /Client-LiNKbots (Customer Products)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/agents/clients/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Sub-folders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One per Client ID, then split into managers/ and workers/.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Example Folder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/agents/clients/CLNT-NESTLE-01/managers/EXT-MNG-260412-99AA-JOHN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Handling Role and Department Transitions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folder name is immutable. To move an agent between departments (e.g., the PO moving from Operations to a Dev Squad), we update the metadata: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Current Role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Updated in IDENTITY.md and LiNKbrain.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Current Department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Updated in IDENTITY.md and LiNKbrain.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