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 Processing Addendum (DPA) – Batch 7, Part 1</w:t>
      </w:r>
    </w:p>
    <w:p/>
    <w:p>
      <w:r>
        <w:t>SECTION 1 — DEFINITIONS AND INTERPRETATION</w:t>
      </w:r>
    </w:p>
    <w:p/>
    <w:p>
      <w:r>
        <w:t>1.1 Definitions</w:t>
      </w:r>
    </w:p>
    <w:p/>
    <w:p>
      <w:r>
        <w:t>(a) “DPA”</w:t>
      </w:r>
    </w:p>
    <w:p>
      <w:r>
        <w:t>Means this Data Processing Addendum together with Schedule 1 (Specific Provisions), incorporated into the MSA.</w:t>
      </w:r>
    </w:p>
    <w:p/>
    <w:p>
      <w:r>
        <w:t>(b) “Company” or “Processor”</w:t>
      </w:r>
    </w:p>
    <w:p>
      <w:r>
        <w:t>Means the entity identified in Schedule 1 that Processes Personal Data on behalf of the Client.</w:t>
      </w:r>
    </w:p>
    <w:p/>
    <w:p>
      <w:r>
        <w:t>(c) “Client” or “Controller”</w:t>
      </w:r>
    </w:p>
    <w:p>
      <w:r>
        <w:t>Means the business customer that determines the purposes and means of Processing Personal Data.</w:t>
      </w:r>
    </w:p>
    <w:p/>
    <w:p>
      <w:r>
        <w:t>(d) “Applicable Data Protection Laws”</w:t>
      </w:r>
    </w:p>
    <w:p>
      <w:r>
        <w:t>Means all applicable privacy and data protection laws, including:</w:t>
      </w:r>
    </w:p>
    <w:p>
      <w:r>
        <w:t>(i) EU GDPR (Regulation (EU) 2016/679);</w:t>
      </w:r>
    </w:p>
    <w:p>
      <w:r>
        <w:t>(ii) UK GDPR and UK Data Protection Act 2018;</w:t>
      </w:r>
    </w:p>
    <w:p>
      <w:r>
        <w:t>(iii) CCPA/CPRA (California);</w:t>
      </w:r>
    </w:p>
    <w:p>
      <w:r>
        <w:t>(iv) Other U.S. state privacy laws (Colorado, Connecticut, Utah, Virginia, Nevada NRS 603A);</w:t>
      </w:r>
    </w:p>
    <w:p>
      <w:r>
        <w:t>(v) Taiwan PDPA;</w:t>
      </w:r>
    </w:p>
    <w:p>
      <w:r>
        <w:t>(vi) Any other laws specified in Schedule 1.</w:t>
      </w:r>
    </w:p>
    <w:p/>
    <w:p>
      <w:r>
        <w:t>(e) “Personal Data”</w:t>
      </w:r>
    </w:p>
    <w:p>
      <w:r>
        <w:t>Means any information relating to an identified or identifiable natural person, as defined under Applicable Data Protection Laws.</w:t>
      </w:r>
    </w:p>
    <w:p/>
    <w:p>
      <w:r>
        <w:t>(f) “Processing”</w:t>
      </w:r>
    </w:p>
    <w:p>
      <w:r>
        <w:t>Means any operation performed on Personal Data, including collection, use, storage, transmission, or deletion.</w:t>
      </w:r>
    </w:p>
    <w:p/>
    <w:p>
      <w:r>
        <w:t>(g) “Data Subject”</w:t>
      </w:r>
    </w:p>
    <w:p>
      <w:r>
        <w:t>Means the individual to whom Personal Data relates.</w:t>
      </w:r>
    </w:p>
    <w:p/>
    <w:p>
      <w:r>
        <w:t>(h) “Subprocessor”</w:t>
      </w:r>
    </w:p>
    <w:p>
      <w:r>
        <w:t>Means any third party engaged by the Company to Process Personal Data on behalf of the Client.</w:t>
      </w:r>
    </w:p>
    <w:p/>
    <w:p>
      <w:r>
        <w:t>(i) “International Transfer”</w:t>
      </w:r>
    </w:p>
    <w:p>
      <w:r>
        <w:t>Means any transfer of Personal Data outside the jurisdiction where it originated.</w:t>
      </w:r>
    </w:p>
    <w:p/>
    <w:p>
      <w:r>
        <w:t>(j) “EEA”</w:t>
      </w:r>
    </w:p>
    <w:p>
      <w:r>
        <w:t>Means the European Economic Area.</w:t>
      </w:r>
    </w:p>
    <w:p/>
    <w:p>
      <w:r>
        <w:t>(k) “UK Addendum”</w:t>
      </w:r>
    </w:p>
    <w:p>
      <w:r>
        <w:t>Means the International Data Transfer Addendum issued by the UK ICO.</w:t>
      </w:r>
    </w:p>
    <w:p/>
    <w:p>
      <w:r>
        <w:t>(l) “SCCs”</w:t>
      </w:r>
    </w:p>
    <w:p>
      <w:r>
        <w:t>Means EU Standard Contractual Clauses (EU 2021/914).</w:t>
      </w:r>
    </w:p>
    <w:p/>
    <w:p>
      <w:r>
        <w:t>(m) “Security Measures”</w:t>
      </w:r>
    </w:p>
    <w:p>
      <w:r>
        <w:t>Means the technical and organizational measures described in Schedule 1.</w:t>
      </w:r>
    </w:p>
    <w:p/>
    <w:p>
      <w:r>
        <w:t>(n) “Security Incident”</w:t>
      </w:r>
    </w:p>
    <w:p>
      <w:r>
        <w:t>Means any confirmed breach of security leading to accidental or unlawful destruction, loss, alteration, unauthorized disclosure, or access to Personal Data.</w:t>
      </w:r>
    </w:p>
    <w:p/>
    <w:p>
      <w:r>
        <w:t>(o) “Instructions”</w:t>
      </w:r>
    </w:p>
    <w:p>
      <w:r>
        <w:t>Means written, documented instructions issued by the Client to the Company regarding the Processing of Personal Data.</w:t>
      </w:r>
    </w:p>
    <w:p/>
    <w:p>
      <w:r>
        <w:t>(p) “Retention Period”</w:t>
      </w:r>
    </w:p>
    <w:p>
      <w:r>
        <w:t>Means the period for which Personal Data is retained, as defined in Schedule 1 or the MSA.</w:t>
      </w:r>
    </w:p>
    <w:p/>
    <w:p>
      <w:r>
        <w:t>1.2 Interpretation</w:t>
      </w:r>
    </w:p>
    <w:p/>
    <w:p>
      <w:r>
        <w:t xml:space="preserve">(a) Capitalized terms not defined in this DPA have the meanings set forth in the MSA.  </w:t>
      </w:r>
    </w:p>
    <w:p>
      <w:r>
        <w:t xml:space="preserve">(b) References to laws include amendments and successors.  </w:t>
      </w:r>
    </w:p>
    <w:p>
      <w:r>
        <w:t xml:space="preserve">(c) References to “Controller” and “Processor” follow GDPR terminology, without prejudice to local law variations.  </w:t>
      </w:r>
    </w:p>
    <w:p>
      <w:r>
        <w:t xml:space="preserve">(d) In case of conflict between the DPA and the MSA, the DPA prevails with respect to Personal Data.  </w:t>
      </w:r>
    </w:p>
    <w:p>
      <w:r>
        <w:t xml:space="preserve">(e) Schedule 1 controls where variables are configurable.  </w:t>
      </w:r>
    </w:p>
    <w:p>
      <w:r>
        <w:t>(f) The English version governs in case of discrepancies.</w:t>
      </w:r>
    </w:p>
    <w:p/>
    <w:p>
      <w:r>
        <w:t>END OF PART 1</w:t>
      </w:r>
    </w:p>
    <w:p/>
    <w:p>
      <w:r>
        <w:br w:type="page"/>
      </w:r>
    </w:p>
    <w:p>
      <w:r>
        <w:t>Data Processing Addendum (DPA) – Batch 7, Part 2</w:t>
      </w:r>
    </w:p>
    <w:p/>
    <w:p>
      <w:r>
        <w:t>SECTION 2 — CONTROLLER OBLIGATIONS</w:t>
      </w:r>
    </w:p>
    <w:p/>
    <w:p>
      <w:r>
        <w:t xml:space="preserve">2.1 Lawful Basis  </w:t>
      </w:r>
    </w:p>
    <w:p>
      <w:r>
        <w:t>The Client (Controller) shall ensure it has a lawful basis for Processing Personal Data under Applicable Data Protection Laws.</w:t>
      </w:r>
    </w:p>
    <w:p/>
    <w:p>
      <w:r>
        <w:t xml:space="preserve">2.2 Accuracy and Minimization  </w:t>
      </w:r>
    </w:p>
    <w:p>
      <w:r>
        <w:t>The Client shall ensure Personal Data is accurate, relevant, and limited to what is necessary.</w:t>
      </w:r>
    </w:p>
    <w:p/>
    <w:p>
      <w:r>
        <w:t xml:space="preserve">2.3 Instructions  </w:t>
      </w:r>
    </w:p>
    <w:p>
      <w:r>
        <w:t>The Client shall provide documented Instructions for Processing. The Company shall not be responsible for violations caused by unclear or unlawful Instructions.</w:t>
      </w:r>
    </w:p>
    <w:p/>
    <w:p>
      <w:r>
        <w:t>-------------------------------------------</w:t>
      </w:r>
    </w:p>
    <w:p/>
    <w:p>
      <w:r>
        <w:t>SECTION 3 — PROCESSOR OBLIGATIONS</w:t>
      </w:r>
    </w:p>
    <w:p/>
    <w:p>
      <w:r>
        <w:t xml:space="preserve">3.1 Processing on Documented Instructions  </w:t>
      </w:r>
    </w:p>
    <w:p>
      <w:r>
        <w:t xml:space="preserve">The Company shall Process Personal Data only:  </w:t>
      </w:r>
    </w:p>
    <w:p>
      <w:r>
        <w:t xml:space="preserve">(a) on the Client’s documented Instructions;  </w:t>
      </w:r>
    </w:p>
    <w:p>
      <w:r>
        <w:t>(b) as required by law (with prior notice unless prohibited).</w:t>
      </w:r>
    </w:p>
    <w:p/>
    <w:p>
      <w:r>
        <w:t xml:space="preserve">3.2 Confidentiality  </w:t>
      </w:r>
    </w:p>
    <w:p>
      <w:r>
        <w:t>The Company shall ensure personnel with access to Personal Data are bound by confidentiality obligations.</w:t>
      </w:r>
    </w:p>
    <w:p/>
    <w:p>
      <w:r>
        <w:t xml:space="preserve">3.3 Security Measures (GDPR Art. 32)  </w:t>
      </w:r>
    </w:p>
    <w:p>
      <w:r>
        <w:t xml:space="preserve">The Company shall implement industry‑standard technical and organizational Security Measures including:  </w:t>
      </w:r>
    </w:p>
    <w:p>
      <w:r>
        <w:t xml:space="preserve">(a) access controls;  </w:t>
      </w:r>
    </w:p>
    <w:p>
      <w:r>
        <w:t xml:space="preserve">(b) encryption in transit and at rest;  </w:t>
      </w:r>
    </w:p>
    <w:p>
      <w:r>
        <w:t xml:space="preserve">(c) network security;  </w:t>
      </w:r>
    </w:p>
    <w:p>
      <w:r>
        <w:t xml:space="preserve">(d) pseudonymization where appropriate;  </w:t>
      </w:r>
    </w:p>
    <w:p>
      <w:r>
        <w:t>(e) regular testing and evaluation of security controls.</w:t>
      </w:r>
    </w:p>
    <w:p/>
    <w:p>
      <w:r>
        <w:t xml:space="preserve">3.4 Subprocessors  </w:t>
      </w:r>
    </w:p>
    <w:p>
      <w:r>
        <w:t xml:space="preserve">(a) The Company may engage Subprocessors listed in Schedule 1.  </w:t>
      </w:r>
    </w:p>
    <w:p>
      <w:r>
        <w:t xml:space="preserve">(b) The Company shall impose equivalent data protection obligations on Subprocessors.  </w:t>
      </w:r>
    </w:p>
    <w:p>
      <w:r>
        <w:t>(c) The Client may object to new Subprocessors on reasonable grounds.</w:t>
      </w:r>
    </w:p>
    <w:p/>
    <w:p>
      <w:r>
        <w:t xml:space="preserve">3.5 International Transfers  </w:t>
      </w:r>
    </w:p>
    <w:p>
      <w:r>
        <w:t>The Company shall not transfer Personal Data outside its region of origin unless appropriate safeguards are in place (see Part 3).</w:t>
      </w:r>
    </w:p>
    <w:p/>
    <w:p>
      <w:r>
        <w:t xml:space="preserve">3.6 Assistance with Client Obligations  </w:t>
      </w:r>
    </w:p>
    <w:p>
      <w:r>
        <w:t xml:space="preserve">The Company shall assist the Client in fulfilling obligations regarding:  </w:t>
      </w:r>
    </w:p>
    <w:p>
      <w:r>
        <w:t xml:space="preserve">(a) Data Subject rights;  </w:t>
      </w:r>
    </w:p>
    <w:p>
      <w:r>
        <w:t xml:space="preserve">(b) data breach notifications;  </w:t>
      </w:r>
    </w:p>
    <w:p>
      <w:r>
        <w:t xml:space="preserve">(c) DPIAs;  </w:t>
      </w:r>
    </w:p>
    <w:p>
      <w:r>
        <w:t>(d) consultations with supervisory authorities.</w:t>
      </w:r>
    </w:p>
    <w:p/>
    <w:p>
      <w:r>
        <w:t xml:space="preserve">3.7 Data Subject Rights  </w:t>
      </w:r>
    </w:p>
    <w:p>
      <w:r>
        <w:t>The Company shall notify the Client if it receives a request and shall not fulfill the request unless instructed.</w:t>
      </w:r>
    </w:p>
    <w:p/>
    <w:p>
      <w:r>
        <w:t xml:space="preserve">3.8 Recordkeeping  </w:t>
      </w:r>
    </w:p>
    <w:p>
      <w:r>
        <w:t>The Company shall maintain records of Processing activities sufficient to demonstrate compliance.</w:t>
      </w:r>
    </w:p>
    <w:p/>
    <w:p>
      <w:r>
        <w:t>-------------------------------------------</w:t>
      </w:r>
    </w:p>
    <w:p/>
    <w:p>
      <w:r>
        <w:t>SECTION 4 — SECURITY INCIDENT MANAGEMENT</w:t>
      </w:r>
    </w:p>
    <w:p/>
    <w:p>
      <w:r>
        <w:t xml:space="preserve">4.1 Notification  </w:t>
      </w:r>
    </w:p>
    <w:p>
      <w:r>
        <w:t xml:space="preserve">The Company shall notify the Client of a Security Incident without undue delay, providing:  </w:t>
      </w:r>
    </w:p>
    <w:p>
      <w:r>
        <w:t xml:space="preserve">(a) nature of the incident;  </w:t>
      </w:r>
    </w:p>
    <w:p>
      <w:r>
        <w:t xml:space="preserve">(b) categories and approximate number of Data Subjects affected;  </w:t>
      </w:r>
    </w:p>
    <w:p>
      <w:r>
        <w:t xml:space="preserve">(c) mitigation steps;  </w:t>
      </w:r>
    </w:p>
    <w:p>
      <w:r>
        <w:t>(d) measures taken to address the incident.</w:t>
      </w:r>
    </w:p>
    <w:p/>
    <w:p>
      <w:r>
        <w:t xml:space="preserve">4.2 Cooperation  </w:t>
      </w:r>
    </w:p>
    <w:p>
      <w:r>
        <w:t>The Company shall assist with regulatory notifications required under GDPR, UK GDPR, CCPA/CPRA, and Taiwan PDPA.</w:t>
      </w:r>
    </w:p>
    <w:p/>
    <w:p>
      <w:r>
        <w:t>-------------------------------------------</w:t>
      </w:r>
    </w:p>
    <w:p/>
    <w:p>
      <w:r>
        <w:t>SECTION 5 — AUDIT RIGHTS</w:t>
      </w:r>
    </w:p>
    <w:p/>
    <w:p>
      <w:r>
        <w:t xml:space="preserve">5.1 Audits  </w:t>
      </w:r>
    </w:p>
    <w:p>
      <w:r>
        <w:t xml:space="preserve">The Client may audit the Company’s compliance:  </w:t>
      </w:r>
    </w:p>
    <w:p>
      <w:r>
        <w:t xml:space="preserve">(a) once annually;  </w:t>
      </w:r>
    </w:p>
    <w:p>
      <w:r>
        <w:t xml:space="preserve">(b) upon 30 days’ notice;  </w:t>
      </w:r>
    </w:p>
    <w:p>
      <w:r>
        <w:t xml:space="preserve">(c) during business hours;  </w:t>
      </w:r>
    </w:p>
    <w:p>
      <w:r>
        <w:t>(d) subject to confidentiality restrictions.</w:t>
      </w:r>
    </w:p>
    <w:p/>
    <w:p>
      <w:r>
        <w:t xml:space="preserve">5.2 Third‑Party Auditors  </w:t>
      </w:r>
    </w:p>
    <w:p>
      <w:r>
        <w:t>Audits may be conducted by an independent auditor, provided they are not a competitor.</w:t>
      </w:r>
    </w:p>
    <w:p/>
    <w:p>
      <w:r>
        <w:t>-------------------------------------------</w:t>
      </w:r>
    </w:p>
    <w:p/>
    <w:p>
      <w:r>
        <w:t>SECTION 6 — DELETION OR RETURN OF PERSONAL DATA</w:t>
      </w:r>
    </w:p>
    <w:p/>
    <w:p>
      <w:r>
        <w:t xml:space="preserve">6.1 End of Processing  </w:t>
      </w:r>
    </w:p>
    <w:p>
      <w:r>
        <w:t xml:space="preserve">Upon termination or expiration, the Company shall:  </w:t>
      </w:r>
    </w:p>
    <w:p>
      <w:r>
        <w:t xml:space="preserve">(a) delete all Personal Data; or  </w:t>
      </w:r>
    </w:p>
    <w:p>
      <w:r>
        <w:t>(b) return Personal Data as instructed.</w:t>
      </w:r>
    </w:p>
    <w:p/>
    <w:p>
      <w:r>
        <w:t xml:space="preserve">6.2 Exceptions  </w:t>
      </w:r>
    </w:p>
    <w:p>
      <w:r>
        <w:t>Deletion obligations do not apply where retention is required by law.</w:t>
      </w:r>
    </w:p>
    <w:p/>
    <w:p>
      <w:r>
        <w:t>-------------------------------------------</w:t>
      </w:r>
    </w:p>
    <w:p/>
    <w:p>
      <w:r>
        <w:t>SECTION 7 — COMPLIANCE WITH U.S. STATE PRIVACY LAWS</w:t>
      </w:r>
    </w:p>
    <w:p/>
    <w:p>
      <w:r>
        <w:t xml:space="preserve">7.1 CCPA/CPRA (California)  </w:t>
      </w:r>
    </w:p>
    <w:p>
      <w:r>
        <w:t xml:space="preserve">The parties agree that:  </w:t>
      </w:r>
    </w:p>
    <w:p>
      <w:r>
        <w:t xml:space="preserve">(a) The Company acts as a “Service Provider.”  </w:t>
      </w:r>
    </w:p>
    <w:p>
      <w:r>
        <w:t xml:space="preserve">(b) The Company shall not sell or share Personal Data.  </w:t>
      </w:r>
    </w:p>
    <w:p>
      <w:r>
        <w:t>(c) The Company shall not retain, use, or disclose Personal Data except as permitted by the Agreement.</w:t>
      </w:r>
    </w:p>
    <w:p/>
    <w:p>
      <w:r>
        <w:t xml:space="preserve">7.2 Nevada (NRS 603A)  </w:t>
      </w:r>
    </w:p>
    <w:p>
      <w:r>
        <w:t>The Company shall not sell Covered Information.</w:t>
      </w:r>
    </w:p>
    <w:p/>
    <w:p>
      <w:r>
        <w:t xml:space="preserve">7.3 Other U.S. State Laws  </w:t>
      </w:r>
    </w:p>
    <w:p>
      <w:r>
        <w:t xml:space="preserve">The Company shall comply with applicable obligations under:  </w:t>
      </w:r>
    </w:p>
    <w:p>
      <w:r>
        <w:t xml:space="preserve">(a) VCDPA (Virginia);  </w:t>
      </w:r>
    </w:p>
    <w:p>
      <w:r>
        <w:t xml:space="preserve">(b) CPA (Colorado);  </w:t>
      </w:r>
    </w:p>
    <w:p>
      <w:r>
        <w:t xml:space="preserve">(c) CTDPA (Connecticut);  </w:t>
      </w:r>
    </w:p>
    <w:p>
      <w:r>
        <w:t>(d) UCPA (Utah).</w:t>
      </w:r>
    </w:p>
    <w:p/>
    <w:p>
      <w:r>
        <w:t>-------------------------------------------</w:t>
      </w:r>
    </w:p>
    <w:p/>
    <w:p>
      <w:r>
        <w:t>SECTION 8 — COMPLIANCE WITH TAIWAN PDPA</w:t>
      </w:r>
    </w:p>
    <w:p/>
    <w:p>
      <w:r>
        <w:t xml:space="preserve">8.1 Notification Obligations  </w:t>
      </w:r>
    </w:p>
    <w:p>
      <w:r>
        <w:t>The Company shall notify the Client of any cross‑border transfers or significant processing risks.</w:t>
      </w:r>
    </w:p>
    <w:p/>
    <w:p>
      <w:r>
        <w:t xml:space="preserve">8.2 Data Subject Rights  </w:t>
      </w:r>
    </w:p>
    <w:p>
      <w:r>
        <w:t xml:space="preserve">The Company shall support:  </w:t>
      </w:r>
    </w:p>
    <w:p>
      <w:r>
        <w:t xml:space="preserve">(a) right to access;  </w:t>
      </w:r>
    </w:p>
    <w:p>
      <w:r>
        <w:t xml:space="preserve">(b) right to correction;  </w:t>
      </w:r>
    </w:p>
    <w:p>
      <w:r>
        <w:t xml:space="preserve">(c) right to erasure;  </w:t>
      </w:r>
    </w:p>
    <w:p>
      <w:r>
        <w:t>(d) right to restriction.</w:t>
      </w:r>
    </w:p>
    <w:p/>
    <w:p>
      <w:r>
        <w:t>-------------------------------------------</w:t>
      </w:r>
    </w:p>
    <w:p/>
    <w:p>
      <w:r>
        <w:t>SECTION 9 — EFFECT OF CONFLICTS</w:t>
      </w:r>
    </w:p>
    <w:p/>
    <w:p>
      <w:r>
        <w:t>In case of conflict between this DPA and the MSA or SLA, this DPA prevails regarding Processing of Personal Data.</w:t>
      </w:r>
    </w:p>
    <w:p/>
    <w:p>
      <w:r>
        <w:t>END OF PART 2</w:t>
      </w:r>
    </w:p>
    <w:p/>
    <w:p>
      <w:r>
        <w:br w:type="page"/>
      </w:r>
    </w:p>
    <w:p>
      <w:r>
        <w:t>Data Processing Addendum (DPA) – Batch 7, Part 3</w:t>
      </w:r>
    </w:p>
    <w:p/>
    <w:p>
      <w:r>
        <w:t>SECTION 10 — INTERNATIONAL TRANSFERS</w:t>
      </w:r>
    </w:p>
    <w:p/>
    <w:p>
      <w:r>
        <w:t xml:space="preserve">10.1 General Principle  </w:t>
      </w:r>
    </w:p>
    <w:p>
      <w:r>
        <w:t>The Company shall not transfer Personal Data outside its region of origin unless such transfer complies with Applicable Data Protection Laws.</w:t>
      </w:r>
    </w:p>
    <w:p/>
    <w:p>
      <w:r>
        <w:t xml:space="preserve">10.2 Transfers from the EEA  </w:t>
      </w:r>
    </w:p>
    <w:p>
      <w:r>
        <w:t>For transfers from the EEA to a third country not deemed adequate by the European Commission, the Parties hereby incorporate by reference the EU Standard Contractual Clauses (SCCs) EU 2021/914 (Module Two — Controller to Processor).</w:t>
      </w:r>
    </w:p>
    <w:p/>
    <w:p>
      <w:r>
        <w:t xml:space="preserve">10.3 Transfers from the UK  </w:t>
      </w:r>
    </w:p>
    <w:p>
      <w:r>
        <w:t>For transfers from the UK, the Parties incorporate the UK ICO International Data Transfer Addendum (“UK Addendum”) to the SCCs.</w:t>
      </w:r>
    </w:p>
    <w:p/>
    <w:p>
      <w:r>
        <w:t xml:space="preserve">10.4 Transfers from Switzerland  </w:t>
      </w:r>
    </w:p>
    <w:p>
      <w:r>
        <w:t>Transfers from Switzerland follow the Swiss FDPIC rules. References to “EU” in SCCs shall be interpreted to include Switzerland, where required.</w:t>
      </w:r>
    </w:p>
    <w:p/>
    <w:p>
      <w:r>
        <w:t xml:space="preserve">10.5 Additional Safeguards  </w:t>
      </w:r>
    </w:p>
    <w:p>
      <w:r>
        <w:t xml:space="preserve">The Company shall implement supplementary measures including:  </w:t>
      </w:r>
    </w:p>
    <w:p>
      <w:r>
        <w:t xml:space="preserve">(a) encryption in transit and at rest;  </w:t>
      </w:r>
    </w:p>
    <w:p>
      <w:r>
        <w:t xml:space="preserve">(b) access controls;  </w:t>
      </w:r>
    </w:p>
    <w:p>
      <w:r>
        <w:t xml:space="preserve">(c) minimized data sets;  </w:t>
      </w:r>
    </w:p>
    <w:p>
      <w:r>
        <w:t>(d) secure key management.</w:t>
      </w:r>
    </w:p>
    <w:p/>
    <w:p>
      <w:r>
        <w:t xml:space="preserve">10.6 Client Instructions  </w:t>
      </w:r>
    </w:p>
    <w:p>
      <w:r>
        <w:t>The Client authorizes international transfers necessary to provide the Services.</w:t>
      </w:r>
    </w:p>
    <w:p/>
    <w:p>
      <w:r>
        <w:t>-------------------------------------------</w:t>
      </w:r>
    </w:p>
    <w:p/>
    <w:p>
      <w:r>
        <w:t>SECTION 11 — SUBPROCESSORS</w:t>
      </w:r>
    </w:p>
    <w:p/>
    <w:p>
      <w:r>
        <w:t xml:space="preserve">11.1 Approved Subprocessors  </w:t>
      </w:r>
    </w:p>
    <w:p>
      <w:r>
        <w:t>The Client authorizes the use of Subprocessors listed in Schedule 1.</w:t>
      </w:r>
    </w:p>
    <w:p/>
    <w:p>
      <w:r>
        <w:t xml:space="preserve">11.2 New Subprocessors  </w:t>
      </w:r>
    </w:p>
    <w:p>
      <w:r>
        <w:t xml:space="preserve">(a) The Company shall notify the Client of any new Subprocessor at least thirty (30) days in advance.  </w:t>
      </w:r>
    </w:p>
    <w:p>
      <w:r>
        <w:t xml:space="preserve">(b) The Client may object on reasonable grounds.  </w:t>
      </w:r>
    </w:p>
    <w:p>
      <w:r>
        <w:t>(c) If unresolved, the Client may terminate the affected Services.</w:t>
      </w:r>
    </w:p>
    <w:p/>
    <w:p>
      <w:r>
        <w:t xml:space="preserve">11.3 Subprocessor Contracts  </w:t>
      </w:r>
    </w:p>
    <w:p>
      <w:r>
        <w:t>The Company shall impose data protection obligations on Subprocessors equivalent to those in this DPA.</w:t>
      </w:r>
    </w:p>
    <w:p/>
    <w:p>
      <w:r>
        <w:t>-------------------------------------------</w:t>
      </w:r>
    </w:p>
    <w:p/>
    <w:p>
      <w:r>
        <w:t>SECTION 12 — SECURITY MEASURES</w:t>
      </w:r>
    </w:p>
    <w:p/>
    <w:p>
      <w:r>
        <w:t xml:space="preserve">12.1 Technical and Organizational Measures  </w:t>
      </w:r>
    </w:p>
    <w:p>
      <w:r>
        <w:t>The Company shall implement Security Measures appropriate to the risk, including:</w:t>
      </w:r>
    </w:p>
    <w:p/>
    <w:p>
      <w:r>
        <w:t xml:space="preserve">(a) Encryption  </w:t>
      </w:r>
    </w:p>
    <w:p>
      <w:r>
        <w:t xml:space="preserve">– TLS 1.2+ encryption in transit  </w:t>
      </w:r>
    </w:p>
    <w:p>
      <w:r>
        <w:t xml:space="preserve">– AES-256 encryption at rest  </w:t>
      </w:r>
    </w:p>
    <w:p/>
    <w:p>
      <w:r>
        <w:t xml:space="preserve">(b) Access Controls  </w:t>
      </w:r>
    </w:p>
    <w:p>
      <w:r>
        <w:t xml:space="preserve">– Role-based access control (RBAC)  </w:t>
      </w:r>
    </w:p>
    <w:p>
      <w:r>
        <w:t xml:space="preserve">– Multi-factor authentication for privileged accounts  </w:t>
      </w:r>
    </w:p>
    <w:p>
      <w:r>
        <w:t xml:space="preserve">– Least-privilege access principle  </w:t>
      </w:r>
    </w:p>
    <w:p/>
    <w:p>
      <w:r>
        <w:t xml:space="preserve">(c) Infrastructure Security  </w:t>
      </w:r>
    </w:p>
    <w:p>
      <w:r>
        <w:t xml:space="preserve">– Firewalls and network segmentation  </w:t>
      </w:r>
    </w:p>
    <w:p>
      <w:r>
        <w:t xml:space="preserve">– DDoS protection  </w:t>
      </w:r>
    </w:p>
    <w:p>
      <w:r>
        <w:t xml:space="preserve">– Continuous vulnerability scanning  </w:t>
      </w:r>
    </w:p>
    <w:p>
      <w:r>
        <w:t xml:space="preserve">– Regular penetration testing  </w:t>
      </w:r>
    </w:p>
    <w:p/>
    <w:p>
      <w:r>
        <w:t xml:space="preserve">(d) Monitoring and Logging  </w:t>
      </w:r>
    </w:p>
    <w:p>
      <w:r>
        <w:t xml:space="preserve">– Centralized logging  </w:t>
      </w:r>
    </w:p>
    <w:p>
      <w:r>
        <w:t xml:space="preserve">– Intrusion detection systems  </w:t>
      </w:r>
    </w:p>
    <w:p>
      <w:r>
        <w:t xml:space="preserve">– Audit trails retained for [INSERT DURATION]  </w:t>
      </w:r>
    </w:p>
    <w:p/>
    <w:p>
      <w:r>
        <w:t xml:space="preserve">(e) Backup &amp; Continuity  </w:t>
      </w:r>
    </w:p>
    <w:p>
      <w:r>
        <w:t xml:space="preserve">– Daily encrypted backups  </w:t>
      </w:r>
    </w:p>
    <w:p>
      <w:r>
        <w:t xml:space="preserve">– Redundant infrastructure  </w:t>
      </w:r>
    </w:p>
    <w:p>
      <w:r>
        <w:t xml:space="preserve">– Disaster recovery procedures  </w:t>
      </w:r>
    </w:p>
    <w:p>
      <w:r>
        <w:t xml:space="preserve">– Recovery time objectives (RTO) and recovery point objectives (RPO) defined in Schedule 1  </w:t>
      </w:r>
    </w:p>
    <w:p/>
    <w:p>
      <w:r>
        <w:t xml:space="preserve">12.2 Annual Review  </w:t>
      </w:r>
    </w:p>
    <w:p>
      <w:r>
        <w:t>Security Measures shall be reviewed at least annually.</w:t>
      </w:r>
    </w:p>
    <w:p/>
    <w:p>
      <w:r>
        <w:t>-------------------------------------------</w:t>
      </w:r>
    </w:p>
    <w:p/>
    <w:p>
      <w:r>
        <w:t>SECTION 13 — DATA RETENTION AND DELETION</w:t>
      </w:r>
    </w:p>
    <w:p/>
    <w:p>
      <w:r>
        <w:t xml:space="preserve">13.1 Retention  </w:t>
      </w:r>
    </w:p>
    <w:p>
      <w:r>
        <w:t xml:space="preserve">The Company shall retain Personal Data only for:  </w:t>
      </w:r>
    </w:p>
    <w:p>
      <w:r>
        <w:t xml:space="preserve">(a) the duration of the MSA;  </w:t>
      </w:r>
    </w:p>
    <w:p>
      <w:r>
        <w:t xml:space="preserve">(b) additional retention required by Applicable Law;  </w:t>
      </w:r>
    </w:p>
    <w:p>
      <w:r>
        <w:t>(c) the Retention Period defined in Schedule 1.</w:t>
      </w:r>
    </w:p>
    <w:p/>
    <w:p>
      <w:r>
        <w:t xml:space="preserve">13.2 Deletion  </w:t>
      </w:r>
    </w:p>
    <w:p>
      <w:r>
        <w:t xml:space="preserve">Upon termination, the Company shall delete Personal Data within:  </w:t>
      </w:r>
    </w:p>
    <w:p>
      <w:r>
        <w:t xml:space="preserve">[INSERT NUMBER OF DAYS]  </w:t>
      </w:r>
    </w:p>
    <w:p>
      <w:r>
        <w:t>(e.g., “30 days”).</w:t>
      </w:r>
    </w:p>
    <w:p/>
    <w:p>
      <w:r>
        <w:t xml:space="preserve">13.3 Backups  </w:t>
      </w:r>
    </w:p>
    <w:p>
      <w:r>
        <w:t>Backup copies containing Personal Data shall be overwritten or securely destroyed at the next scheduled backup cycle.</w:t>
      </w:r>
    </w:p>
    <w:p/>
    <w:p>
      <w:r>
        <w:t>-------------------------------------------</w:t>
      </w:r>
    </w:p>
    <w:p/>
    <w:p>
      <w:r>
        <w:t>SECTION 14 — BUSINESS CONTINUITY AND DISASTER RECOVERY</w:t>
      </w:r>
    </w:p>
    <w:p/>
    <w:p>
      <w:r>
        <w:t xml:space="preserve">14.1 Continuity  </w:t>
      </w:r>
    </w:p>
    <w:p>
      <w:r>
        <w:t>The Company shall maintain a business continuity plan and disaster recovery plan aligned with ISO 22301 principles.</w:t>
      </w:r>
    </w:p>
    <w:p/>
    <w:p>
      <w:r>
        <w:t xml:space="preserve">14.2 Restoration  </w:t>
      </w:r>
    </w:p>
    <w:p>
      <w:r>
        <w:t>The Company shall restore Services in accordance with RTO/RPO parameters defined in Schedule 1.</w:t>
      </w:r>
    </w:p>
    <w:p/>
    <w:p>
      <w:r>
        <w:t>-------------------------------------------</w:t>
      </w:r>
    </w:p>
    <w:p/>
    <w:p>
      <w:r>
        <w:t>SECTION 15 — COOPERATION WITH SUPERVISORY AUTHORITIES</w:t>
      </w:r>
    </w:p>
    <w:p/>
    <w:p>
      <w:r>
        <w:t xml:space="preserve">15.1 Regulatory Requests  </w:t>
      </w:r>
    </w:p>
    <w:p>
      <w:r>
        <w:t xml:space="preserve">The Company shall cooperate with regulatory authorities such as:  </w:t>
      </w:r>
    </w:p>
    <w:p>
      <w:r>
        <w:t xml:space="preserve">(a) EU supervisory authorities;  </w:t>
      </w:r>
    </w:p>
    <w:p>
      <w:r>
        <w:t xml:space="preserve">(b) UK ICO;  </w:t>
      </w:r>
    </w:p>
    <w:p>
      <w:r>
        <w:t xml:space="preserve">(c) FDPIC (Switzerland);  </w:t>
      </w:r>
    </w:p>
    <w:p>
      <w:r>
        <w:t xml:space="preserve">(d) U.S. state AG offices;  </w:t>
      </w:r>
    </w:p>
    <w:p>
      <w:r>
        <w:t>(e) Taiwan PDPA officials.</w:t>
      </w:r>
    </w:p>
    <w:p/>
    <w:p>
      <w:r>
        <w:t>-------------------------------------------</w:t>
      </w:r>
    </w:p>
    <w:p/>
    <w:p>
      <w:r>
        <w:t>SECTION 16 — COMPLIANCE DOCUMENTATION</w:t>
      </w:r>
    </w:p>
    <w:p/>
    <w:p>
      <w:r>
        <w:t xml:space="preserve">16.1 Evidence of Compliance  </w:t>
      </w:r>
    </w:p>
    <w:p>
      <w:r>
        <w:t xml:space="preserve">Upon request, the Company shall provide:  </w:t>
      </w:r>
    </w:p>
    <w:p>
      <w:r>
        <w:t xml:space="preserve">(a) SOC 2 Type II report;  </w:t>
      </w:r>
    </w:p>
    <w:p>
      <w:r>
        <w:t xml:space="preserve">(b) penetration testing summaries;  </w:t>
      </w:r>
    </w:p>
    <w:p>
      <w:r>
        <w:t xml:space="preserve">(c) DPIA assistance documents;  </w:t>
      </w:r>
    </w:p>
    <w:p>
      <w:r>
        <w:t xml:space="preserve">(d) audit logs;  </w:t>
      </w:r>
    </w:p>
    <w:p>
      <w:r>
        <w:t>(e) Subprocessor contracts (summaries).</w:t>
      </w:r>
    </w:p>
    <w:p/>
    <w:p>
      <w:r>
        <w:t>END OF PART 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