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Level Agreement (SLA) – Batch 6, Part 1</w:t>
      </w:r>
    </w:p>
    <w:p/>
    <w:p>
      <w:r>
        <w:t>SECTION 1 — DEFINITIONS AND INTERPRETATION</w:t>
      </w:r>
    </w:p>
    <w:p/>
    <w:p>
      <w:r>
        <w:t>1.1 Definitions</w:t>
      </w:r>
    </w:p>
    <w:p/>
    <w:p>
      <w:r>
        <w:t>(a) “SLA” or “Service Level Agreement”</w:t>
      </w:r>
    </w:p>
    <w:p>
      <w:r>
        <w:t>Means this agreement governing uptime, performance, support levels, maintenance, and service credits.</w:t>
      </w:r>
    </w:p>
    <w:p/>
    <w:p>
      <w:r>
        <w:t>(b) “Company”</w:t>
      </w:r>
    </w:p>
    <w:p>
      <w:r>
        <w:t>Means the entity identified in Schedule 1 as the provider of the Services.</w:t>
      </w:r>
    </w:p>
    <w:p/>
    <w:p>
      <w:r>
        <w:t>(c) “Client”</w:t>
      </w:r>
    </w:p>
    <w:p>
      <w:r>
        <w:t>Means the business customer receiving Services pursuant to the MSA.</w:t>
      </w:r>
    </w:p>
    <w:p/>
    <w:p>
      <w:r>
        <w:t>(d) “Services”</w:t>
      </w:r>
    </w:p>
    <w:p>
      <w:r>
        <w:t>Means the software-as-a-service platform and related functionalities provided by the Company.</w:t>
      </w:r>
    </w:p>
    <w:p/>
    <w:p>
      <w:r>
        <w:t>(e) “Downtime”</w:t>
      </w:r>
    </w:p>
    <w:p>
      <w:r>
        <w:t>Means any period during which the Services are unavailable, excluding Permitted Downtime.</w:t>
      </w:r>
    </w:p>
    <w:p/>
    <w:p>
      <w:r>
        <w:t>(f) “Permitted Downtime”</w:t>
      </w:r>
    </w:p>
    <w:p>
      <w:r>
        <w:t xml:space="preserve">Includes:  </w:t>
      </w:r>
    </w:p>
    <w:p>
      <w:r>
        <w:t xml:space="preserve">(i) Scheduled Maintenance;  </w:t>
      </w:r>
    </w:p>
    <w:p>
      <w:r>
        <w:t xml:space="preserve">(ii) Emergency Maintenance;  </w:t>
      </w:r>
    </w:p>
    <w:p>
      <w:r>
        <w:t>(iii) downtime caused by Excluded Events (as defined below).</w:t>
      </w:r>
    </w:p>
    <w:p/>
    <w:p>
      <w:r>
        <w:t>(g) “Scheduled Maintenance”</w:t>
      </w:r>
    </w:p>
    <w:p>
      <w:r>
        <w:t>Means maintenance announced at least 48 hours in advance.</w:t>
      </w:r>
    </w:p>
    <w:p/>
    <w:p>
      <w:r>
        <w:t>(h) “Emergency Maintenance”</w:t>
      </w:r>
    </w:p>
    <w:p>
      <w:r>
        <w:t>Means urgent maintenance required to prevent or mitigate security or operational risks.</w:t>
      </w:r>
    </w:p>
    <w:p/>
    <w:p>
      <w:r>
        <w:t>(i) “Uptime Commitment”</w:t>
      </w:r>
    </w:p>
    <w:p>
      <w:r>
        <w:t>Means the percentage of time during a calendar month that the Services are required to be Available, as defined in Schedule 1.</w:t>
      </w:r>
    </w:p>
    <w:p/>
    <w:p>
      <w:r>
        <w:t>(j) “Available” or “Availability”</w:t>
      </w:r>
    </w:p>
    <w:p>
      <w:r>
        <w:t>Means the Services are accessible and operational for production use.</w:t>
      </w:r>
    </w:p>
    <w:p/>
    <w:p>
      <w:r>
        <w:t>(k) “Service Credits”</w:t>
      </w:r>
    </w:p>
    <w:p>
      <w:r>
        <w:t>Means credits issued for failure to meet the Uptime Commitment.</w:t>
      </w:r>
    </w:p>
    <w:p/>
    <w:p>
      <w:r>
        <w:t>(l) “Support Services”</w:t>
      </w:r>
    </w:p>
    <w:p>
      <w:r>
        <w:t>Means the support obligations described in this SLA, including response and resolution targets.</w:t>
      </w:r>
    </w:p>
    <w:p/>
    <w:p>
      <w:r>
        <w:t>(m) “Severity Levels”</w:t>
      </w:r>
    </w:p>
    <w:p>
      <w:r>
        <w:t>Means the classification of support requests according to business impact.</w:t>
      </w:r>
    </w:p>
    <w:p/>
    <w:p>
      <w:r>
        <w:t>(n) “Response Time”</w:t>
      </w:r>
    </w:p>
    <w:p>
      <w:r>
        <w:t>Means the time between a Client-submitted support ticket and Company acknowledgment.</w:t>
      </w:r>
    </w:p>
    <w:p/>
    <w:p>
      <w:r>
        <w:t>(o) “Resolution Time”</w:t>
      </w:r>
    </w:p>
    <w:p>
      <w:r>
        <w:t>Means the time between acknowledgment and issue resolution or workaround.</w:t>
      </w:r>
    </w:p>
    <w:p/>
    <w:p>
      <w:r>
        <w:t>(p) “Excluded Events”</w:t>
      </w:r>
    </w:p>
    <w:p>
      <w:r>
        <w:t xml:space="preserve">Means events outside the Company’s control, including:  </w:t>
      </w:r>
    </w:p>
    <w:p>
      <w:r>
        <w:t xml:space="preserve">(i) Client systems or networks;  </w:t>
      </w:r>
    </w:p>
    <w:p>
      <w:r>
        <w:t xml:space="preserve">(ii) third-party service failures;  </w:t>
      </w:r>
    </w:p>
    <w:p>
      <w:r>
        <w:t xml:space="preserve">(iii) internet backbone issues;  </w:t>
      </w:r>
    </w:p>
    <w:p>
      <w:r>
        <w:t xml:space="preserve">(iv) Force Majeure Events;  </w:t>
      </w:r>
    </w:p>
    <w:p>
      <w:r>
        <w:t>(v) breaches by the Client.</w:t>
      </w:r>
    </w:p>
    <w:p/>
    <w:p>
      <w:r>
        <w:t>(q) “MSA”</w:t>
      </w:r>
    </w:p>
    <w:p>
      <w:r>
        <w:t>Means the Master Service Agreement governing the relationship between the parties.</w:t>
      </w:r>
    </w:p>
    <w:p/>
    <w:p>
      <w:r>
        <w:t>(r) “Order Form”</w:t>
      </w:r>
    </w:p>
    <w:p>
      <w:r>
        <w:t>Means the document specifying subscription details and incorporating this SLA.</w:t>
      </w:r>
    </w:p>
    <w:p/>
    <w:p>
      <w:r>
        <w:t>1.2 Interpretation</w:t>
      </w:r>
    </w:p>
    <w:p/>
    <w:p>
      <w:r>
        <w:t xml:space="preserve">(a) Headings are for convenience only.  </w:t>
      </w:r>
    </w:p>
    <w:p>
      <w:r>
        <w:t xml:space="preserve">(b) Singular includes plural and vice versa.  </w:t>
      </w:r>
    </w:p>
    <w:p>
      <w:r>
        <w:t xml:space="preserve">(c) “Including” means “including without limitation.”  </w:t>
      </w:r>
    </w:p>
    <w:p>
      <w:r>
        <w:t xml:space="preserve">(d) References to law include amendments and replacements.  </w:t>
      </w:r>
    </w:p>
    <w:p>
      <w:r>
        <w:t xml:space="preserve">(e) Schedule 1 controls for configurable variables.  </w:t>
      </w:r>
    </w:p>
    <w:p>
      <w:r>
        <w:t>(f) English version governs in case of conflict with translations.</w:t>
      </w:r>
    </w:p>
    <w:p/>
    <w:p>
      <w:r>
        <w:t>END OF PART 1</w:t>
      </w:r>
    </w:p>
    <w:p/>
    <w:p>
      <w:r>
        <w:br w:type="page"/>
      </w:r>
    </w:p>
    <w:p>
      <w:r>
        <w:t>Service Level Agreement (SLA) – Batch 6, Part 2</w:t>
      </w:r>
    </w:p>
    <w:p/>
    <w:p>
      <w:r>
        <w:t>SECTION 2 — UPTIME COMMITMENT</w:t>
      </w:r>
    </w:p>
    <w:p/>
    <w:p>
      <w:r>
        <w:t xml:space="preserve">2.1 Uptime Guarantee  </w:t>
      </w:r>
    </w:p>
    <w:p>
      <w:r>
        <w:t>The Company shall provide an Uptime Commitment as defined in Schedule 1, expressed as a percentage of total minutes in each calendar month during which the Services must be Available.</w:t>
      </w:r>
    </w:p>
    <w:p/>
    <w:p>
      <w:r>
        <w:t xml:space="preserve">2.2 Measurement Period  </w:t>
      </w:r>
    </w:p>
    <w:p>
      <w:r>
        <w:t xml:space="preserve">Uptime is calculated monthly, based on:  </w:t>
      </w:r>
    </w:p>
    <w:p>
      <w:r>
        <w:t xml:space="preserve">(a) total minutes in the month;  </w:t>
      </w:r>
    </w:p>
    <w:p>
      <w:r>
        <w:t xml:space="preserve">(b) minus Permitted Downtime;  </w:t>
      </w:r>
    </w:p>
    <w:p>
      <w:r>
        <w:t>(c) minus Downtime.</w:t>
      </w:r>
    </w:p>
    <w:p/>
    <w:p>
      <w:r>
        <w:t xml:space="preserve">2.3 Monitoring  </w:t>
      </w:r>
    </w:p>
    <w:p>
      <w:r>
        <w:t>The Company shall use industry-standard monitoring tools to measure Availability.</w:t>
      </w:r>
    </w:p>
    <w:p/>
    <w:p>
      <w:r>
        <w:t>-------------------------------------------</w:t>
      </w:r>
    </w:p>
    <w:p/>
    <w:p>
      <w:r>
        <w:t>SECTION 3 — SCHEDULED AND EMERGENCY MAINTENANCE</w:t>
      </w:r>
    </w:p>
    <w:p/>
    <w:p>
      <w:r>
        <w:t xml:space="preserve">3.1 Scheduled Maintenance  </w:t>
      </w:r>
    </w:p>
    <w:p>
      <w:r>
        <w:t xml:space="preserve">(a) The Company may schedule maintenance with at least forty-eight (48) hours’ notice.  </w:t>
      </w:r>
    </w:p>
    <w:p>
      <w:r>
        <w:t xml:space="preserve">(b) Scheduled Maintenance is considered Permitted Downtime.  </w:t>
      </w:r>
    </w:p>
    <w:p>
      <w:r>
        <w:t>(c) Scheduled Maintenance windows shall not exceed the limits defined in Schedule 1.</w:t>
      </w:r>
    </w:p>
    <w:p/>
    <w:p>
      <w:r>
        <w:t xml:space="preserve">3.2 Emergency Maintenance  </w:t>
      </w:r>
    </w:p>
    <w:p>
      <w:r>
        <w:t xml:space="preserve">(a) Emergency Maintenance may occur without prior notice when necessary for security, stability, or safety.  </w:t>
      </w:r>
    </w:p>
    <w:p>
      <w:r>
        <w:t>(b) Emergency Maintenance counts as Permitted Downtime if it is required to mitigate substantial risk.</w:t>
      </w:r>
    </w:p>
    <w:p/>
    <w:p>
      <w:r>
        <w:t>-------------------------------------------</w:t>
      </w:r>
    </w:p>
    <w:p/>
    <w:p>
      <w:r>
        <w:t>SECTION 4 — SERVICE PERFORMANCE REQUIREMENTS</w:t>
      </w:r>
    </w:p>
    <w:p/>
    <w:p>
      <w:r>
        <w:t xml:space="preserve">4.1 General Performance  </w:t>
      </w:r>
    </w:p>
    <w:p>
      <w:r>
        <w:t>The Services shall be provided using commercially reasonable efforts, consistent with industry standards for SaaS platforms.</w:t>
      </w:r>
    </w:p>
    <w:p/>
    <w:p>
      <w:r>
        <w:t xml:space="preserve">4.2 Latency Targets  </w:t>
      </w:r>
    </w:p>
    <w:p>
      <w:r>
        <w:t>If latency or performance targets exist, they shall be defined in Schedule 1.</w:t>
      </w:r>
    </w:p>
    <w:p/>
    <w:p>
      <w:r>
        <w:t>-------------------------------------------</w:t>
      </w:r>
    </w:p>
    <w:p/>
    <w:p>
      <w:r>
        <w:t>SECTION 5 — SUPPORT SERVICES</w:t>
      </w:r>
    </w:p>
    <w:p/>
    <w:p>
      <w:r>
        <w:t xml:space="preserve">5.1 Support Channels  </w:t>
      </w:r>
    </w:p>
    <w:p>
      <w:r>
        <w:t xml:space="preserve">Support is provided through the following channels:  </w:t>
      </w:r>
    </w:p>
    <w:p>
      <w:r>
        <w:t xml:space="preserve">(a) email;  </w:t>
      </w:r>
    </w:p>
    <w:p>
      <w:r>
        <w:t xml:space="preserve">(b) helpdesk/ticketing system;  </w:t>
      </w:r>
    </w:p>
    <w:p>
      <w:r>
        <w:t xml:space="preserve">(c) optional live chat (if purchased).  </w:t>
      </w:r>
    </w:p>
    <w:p>
      <w:r>
        <w:t>Telephone support may be added if specified in Schedule 1.</w:t>
      </w:r>
    </w:p>
    <w:p/>
    <w:p>
      <w:r>
        <w:t xml:space="preserve">5.2 Support Hours  </w:t>
      </w:r>
    </w:p>
    <w:p>
      <w:r>
        <w:t xml:space="preserve">Default support hours are:  </w:t>
      </w:r>
    </w:p>
    <w:p>
      <w:r>
        <w:t xml:space="preserve">(a) Monday–Friday, during business hours defined in Schedule 1;  </w:t>
      </w:r>
    </w:p>
    <w:p>
      <w:r>
        <w:t>(b) excluding public holidays.</w:t>
      </w:r>
    </w:p>
    <w:p/>
    <w:p>
      <w:r>
        <w:t>24/7 support may be purchased as an add-on.</w:t>
      </w:r>
    </w:p>
    <w:p/>
    <w:p>
      <w:r>
        <w:t>-------------------------------------------</w:t>
      </w:r>
    </w:p>
    <w:p/>
    <w:p>
      <w:r>
        <w:t>SECTION 6 — INCIDENT CLASSIFICATION AND RESPONSE TIMES</w:t>
      </w:r>
    </w:p>
    <w:p/>
    <w:p>
      <w:r>
        <w:t xml:space="preserve">6.1 Severity Levels  </w:t>
      </w:r>
    </w:p>
    <w:p>
      <w:r>
        <w:t>Incidents shall be classified by Severity Level:</w:t>
      </w:r>
    </w:p>
    <w:p/>
    <w:p>
      <w:r>
        <w:t xml:space="preserve">(a) Severity 1 — Critical  </w:t>
      </w:r>
    </w:p>
    <w:p>
      <w:r>
        <w:t xml:space="preserve">Complete outage or major functionality failure affecting all Authorized Users.  </w:t>
      </w:r>
    </w:p>
    <w:p>
      <w:r>
        <w:t xml:space="preserve">(b) Severity 2 — High  </w:t>
      </w:r>
    </w:p>
    <w:p>
      <w:r>
        <w:t xml:space="preserve">Significant degradation or partial outage affecting a substantial portion of Authorized Users.  </w:t>
      </w:r>
    </w:p>
    <w:p>
      <w:r>
        <w:t xml:space="preserve">(c) Severity 3 — Medium  </w:t>
      </w:r>
    </w:p>
    <w:p>
      <w:r>
        <w:t xml:space="preserve">Non-critical functionality impaired; workaround available.  </w:t>
      </w:r>
    </w:p>
    <w:p>
      <w:r>
        <w:t xml:space="preserve">(d) Severity 4 — Low  </w:t>
      </w:r>
    </w:p>
    <w:p>
      <w:r>
        <w:t>Minor issues, UI defects, or general inquiries.</w:t>
      </w:r>
    </w:p>
    <w:p/>
    <w:p>
      <w:r>
        <w:t xml:space="preserve">6.2 Response Targets  </w:t>
      </w:r>
    </w:p>
    <w:p>
      <w:r>
        <w:t>Company shall adhere to Response Times defined in Schedule 1 (e.g., 1 hour for Severity 1).</w:t>
      </w:r>
    </w:p>
    <w:p/>
    <w:p>
      <w:r>
        <w:t xml:space="preserve">6.3 Resolution Targets  </w:t>
      </w:r>
    </w:p>
    <w:p>
      <w:r>
        <w:t>Resolution Times or workaround targets are defined in Schedule 1.</w:t>
      </w:r>
    </w:p>
    <w:p/>
    <w:p>
      <w:r>
        <w:t>-------------------------------------------</w:t>
      </w:r>
    </w:p>
    <w:p/>
    <w:p>
      <w:r>
        <w:t>SECTION 7 — ESCALATION PROCEDURES</w:t>
      </w:r>
    </w:p>
    <w:p/>
    <w:p>
      <w:r>
        <w:t xml:space="preserve">7.1 Escalation Path  </w:t>
      </w:r>
    </w:p>
    <w:p>
      <w:r>
        <w:t xml:space="preserve">If a ticket remains unresolved within the designated Resolution Time, the Company shall escalate to:  </w:t>
      </w:r>
    </w:p>
    <w:p>
      <w:r>
        <w:t xml:space="preserve">(a) Tier 2 Support;  </w:t>
      </w:r>
    </w:p>
    <w:p>
      <w:r>
        <w:t xml:space="preserve">(b) Engineering;  </w:t>
      </w:r>
    </w:p>
    <w:p>
      <w:r>
        <w:t>(c) Management-level engineering leads (if Severity 1).</w:t>
      </w:r>
    </w:p>
    <w:p/>
    <w:p>
      <w:r>
        <w:t xml:space="preserve">7.2 Client Responsibilities  </w:t>
      </w:r>
    </w:p>
    <w:p>
      <w:r>
        <w:t>The Client must provide requested logs, screenshots, or diagnostic information promptly.</w:t>
      </w:r>
    </w:p>
    <w:p/>
    <w:p>
      <w:r>
        <w:t>-------------------------------------------</w:t>
      </w:r>
    </w:p>
    <w:p/>
    <w:p>
      <w:r>
        <w:t>SECTION 8 — SERVICE REQUESTS AND CHANGE REQUESTS</w:t>
      </w:r>
    </w:p>
    <w:p/>
    <w:p>
      <w:r>
        <w:t xml:space="preserve">8.1 Service Requests  </w:t>
      </w:r>
    </w:p>
    <w:p>
      <w:r>
        <w:t>Non-incident requests such as configuration assistance or information requests shall be handled within business hours and are not subject to incident Response Times.</w:t>
      </w:r>
    </w:p>
    <w:p/>
    <w:p>
      <w:r>
        <w:t xml:space="preserve">8.2 Change Requests  </w:t>
      </w:r>
    </w:p>
    <w:p>
      <w:r>
        <w:t>Changes requiring engineering work may be classified as Professional Services and billed accordingly.</w:t>
      </w:r>
    </w:p>
    <w:p/>
    <w:p>
      <w:r>
        <w:t>-------------------------------------------</w:t>
      </w:r>
    </w:p>
    <w:p/>
    <w:p>
      <w:r>
        <w:t>SECTION 9 — SERVICE AVAILABILITY EXCLUSIONS (EXCLUDED EVENTS)</w:t>
      </w:r>
    </w:p>
    <w:p/>
    <w:p>
      <w:r>
        <w:t xml:space="preserve">The following events do not count as Downtime:  </w:t>
      </w:r>
    </w:p>
    <w:p>
      <w:r>
        <w:t xml:space="preserve">(a) Client network, systems, or infrastructure failures;  </w:t>
      </w:r>
    </w:p>
    <w:p>
      <w:r>
        <w:t xml:space="preserve">(b) Third-party service/provider outages;  </w:t>
      </w:r>
    </w:p>
    <w:p>
      <w:r>
        <w:t xml:space="preserve">(c) Force Majeure Events;  </w:t>
      </w:r>
    </w:p>
    <w:p>
      <w:r>
        <w:t xml:space="preserve">(d) Client misuse or unauthorized changes;  </w:t>
      </w:r>
    </w:p>
    <w:p>
      <w:r>
        <w:t xml:space="preserve">(e) Issues arising from unsupported browsers or Device configurations;  </w:t>
      </w:r>
    </w:p>
    <w:p>
      <w:r>
        <w:t xml:space="preserve">(f) Beta or experimental features;  </w:t>
      </w:r>
    </w:p>
    <w:p>
      <w:r>
        <w:t>(g) Maintenance windows within defined limits.</w:t>
      </w:r>
    </w:p>
    <w:p/>
    <w:p>
      <w:r>
        <w:t>-------------------------------------------</w:t>
      </w:r>
    </w:p>
    <w:p/>
    <w:p>
      <w:r>
        <w:t>SECTION 10 — COMMUNICATION OF INCIDENTS</w:t>
      </w:r>
    </w:p>
    <w:p/>
    <w:p>
      <w:r>
        <w:t xml:space="preserve">10.1 Notifications  </w:t>
      </w:r>
    </w:p>
    <w:p>
      <w:r>
        <w:t>The Company shall notify the Client of Severity 1 or 2 incidents without undue delay.</w:t>
      </w:r>
    </w:p>
    <w:p/>
    <w:p>
      <w:r>
        <w:t xml:space="preserve">10.2 Status Updates  </w:t>
      </w:r>
    </w:p>
    <w:p>
      <w:r>
        <w:t>The Company shall provide periodic updates for Severity 1 or 2 incidents until resolved.</w:t>
      </w:r>
    </w:p>
    <w:p/>
    <w:p>
      <w:r>
        <w:t>END OF PART 2</w:t>
      </w:r>
    </w:p>
    <w:p/>
    <w:p>
      <w:r>
        <w:br w:type="page"/>
      </w:r>
    </w:p>
    <w:p>
      <w:r>
        <w:t>Service Level Agreement (SLA) – Batch 6, Part 3</w:t>
      </w:r>
    </w:p>
    <w:p/>
    <w:p>
      <w:r>
        <w:t>SECTION 11 — SERVICE CREDIT FRAMEWORK</w:t>
      </w:r>
    </w:p>
    <w:p/>
    <w:p>
      <w:r>
        <w:t xml:space="preserve">11.1 Eligibility for Service Credits  </w:t>
      </w:r>
    </w:p>
    <w:p>
      <w:r>
        <w:t>Service Credits apply when monthly Availability falls below the Uptime Commitment defined in Schedule 1.</w:t>
      </w:r>
    </w:p>
    <w:p/>
    <w:p>
      <w:r>
        <w:t xml:space="preserve">11.2 Credit Calculation  </w:t>
      </w:r>
    </w:p>
    <w:p>
      <w:r>
        <w:t>Credits are calculated using the following formula:</w:t>
      </w:r>
    </w:p>
    <w:p/>
    <w:p>
      <w:r>
        <w:t>Service Credit = Monthly Fee × Credit Percentage</w:t>
      </w:r>
    </w:p>
    <w:p/>
    <w:p>
      <w:r>
        <w:t xml:space="preserve">Credit Percentage tiers (example values to be customized in Schedule 1):  </w:t>
      </w:r>
    </w:p>
    <w:p>
      <w:r>
        <w:t xml:space="preserve">(a) Availability ≥ 99.9% — No credit  </w:t>
      </w:r>
    </w:p>
    <w:p>
      <w:r>
        <w:t xml:space="preserve">(b) 99.0%–99.89% — 10% credit  </w:t>
      </w:r>
    </w:p>
    <w:p>
      <w:r>
        <w:t xml:space="preserve">(c) 98.0%–98.99% — 25% credit  </w:t>
      </w:r>
    </w:p>
    <w:p>
      <w:r>
        <w:t>(d) &lt; 98.0% — 50% credit</w:t>
      </w:r>
    </w:p>
    <w:p/>
    <w:p>
      <w:r>
        <w:t xml:space="preserve">11.3 Credit Limit  </w:t>
      </w:r>
    </w:p>
    <w:p>
      <w:r>
        <w:t>Service Credits for a single month shall not exceed 100% of that month’s Fees.</w:t>
      </w:r>
    </w:p>
    <w:p/>
    <w:p>
      <w:r>
        <w:t xml:space="preserve">11.4 Application of Credits  </w:t>
      </w:r>
    </w:p>
    <w:p>
      <w:r>
        <w:t>Credits are applied to future invoices only and cannot be redeemed as cash.</w:t>
      </w:r>
    </w:p>
    <w:p/>
    <w:p>
      <w:r>
        <w:t>-------------------------------------------</w:t>
      </w:r>
    </w:p>
    <w:p/>
    <w:p>
      <w:r>
        <w:t>SECTION 12 — CREDIT CLAIM PROCESS</w:t>
      </w:r>
    </w:p>
    <w:p/>
    <w:p>
      <w:r>
        <w:t xml:space="preserve">12.1 Filing a Claim  </w:t>
      </w:r>
    </w:p>
    <w:p>
      <w:r>
        <w:t xml:space="preserve">The Client must submit a claim:  </w:t>
      </w:r>
    </w:p>
    <w:p>
      <w:r>
        <w:t xml:space="preserve">(a) within 15 days after the month in which the failure occurred;  </w:t>
      </w:r>
    </w:p>
    <w:p>
      <w:r>
        <w:t xml:space="preserve">(b) including timestamps, logs, or evidence;  </w:t>
      </w:r>
    </w:p>
    <w:p>
      <w:r>
        <w:t>(c) via the support channel defined in Schedule 1.</w:t>
      </w:r>
    </w:p>
    <w:p/>
    <w:p>
      <w:r>
        <w:t xml:space="preserve">12.2 Review  </w:t>
      </w:r>
    </w:p>
    <w:p>
      <w:r>
        <w:t>The Company shall review and validate claims within 30 days.</w:t>
      </w:r>
    </w:p>
    <w:p/>
    <w:p>
      <w:r>
        <w:t xml:space="preserve">12.3 Approval  </w:t>
      </w:r>
    </w:p>
    <w:p>
      <w:r>
        <w:t>If approved, Service Credits will be applied to the next billing cycle.</w:t>
      </w:r>
    </w:p>
    <w:p/>
    <w:p>
      <w:r>
        <w:t xml:space="preserve">12.4 Denial  </w:t>
      </w:r>
    </w:p>
    <w:p>
      <w:r>
        <w:t xml:space="preserve">Credits may be denied if:  </w:t>
      </w:r>
    </w:p>
    <w:p>
      <w:r>
        <w:t xml:space="preserve">(a) data is insufficient;  </w:t>
      </w:r>
    </w:p>
    <w:p>
      <w:r>
        <w:t xml:space="preserve">(b) the event was an Excluded Event;  </w:t>
      </w:r>
    </w:p>
    <w:p>
      <w:r>
        <w:t xml:space="preserve">(c) the Client is delinquent on payments;  </w:t>
      </w:r>
    </w:p>
    <w:p>
      <w:r>
        <w:t>(d) misuse or violation of the MSA/SLA contributed to the issue.</w:t>
      </w:r>
    </w:p>
    <w:p/>
    <w:p>
      <w:r>
        <w:t>-------------------------------------------</w:t>
      </w:r>
    </w:p>
    <w:p/>
    <w:p>
      <w:r>
        <w:t>SECTION 13 — MEASUREMENT AND REPORTING</w:t>
      </w:r>
    </w:p>
    <w:p/>
    <w:p>
      <w:r>
        <w:t xml:space="preserve">13.1 Measurement Tools  </w:t>
      </w:r>
    </w:p>
    <w:p>
      <w:r>
        <w:t>Availability is measured using Company-operated or Company-approved monitoring systems.</w:t>
      </w:r>
    </w:p>
    <w:p/>
    <w:p>
      <w:r>
        <w:t xml:space="preserve">13.2 Transparency Reports  </w:t>
      </w:r>
    </w:p>
    <w:p>
      <w:r>
        <w:t xml:space="preserve">Upon request, the Company shall provide:  </w:t>
      </w:r>
    </w:p>
    <w:p>
      <w:r>
        <w:t xml:space="preserve">(a) uptime logs;  </w:t>
      </w:r>
    </w:p>
    <w:p>
      <w:r>
        <w:t xml:space="preserve">(b) maintenance notices;  </w:t>
      </w:r>
    </w:p>
    <w:p>
      <w:r>
        <w:t>(c) incident summaries.</w:t>
      </w:r>
    </w:p>
    <w:p/>
    <w:p>
      <w:r>
        <w:t xml:space="preserve">13.3 Disputes  </w:t>
      </w:r>
    </w:p>
    <w:p>
      <w:r>
        <w:t>If measurement results are disputed, the Company’s system of record shall prevail unless demonstrably incorrect.</w:t>
      </w:r>
    </w:p>
    <w:p/>
    <w:p>
      <w:r>
        <w:t>-------------------------------------------</w:t>
      </w:r>
    </w:p>
    <w:p/>
    <w:p>
      <w:r>
        <w:t>SECTION 14 — CHRONIC FAILURE</w:t>
      </w:r>
    </w:p>
    <w:p/>
    <w:p>
      <w:r>
        <w:t xml:space="preserve">14.1 Definition  </w:t>
      </w:r>
    </w:p>
    <w:p>
      <w:r>
        <w:t xml:space="preserve">“Chronic Failure” occurs when:  </w:t>
      </w:r>
    </w:p>
    <w:p>
      <w:r>
        <w:t xml:space="preserve">(a) Availability falls below the Uptime Commitment for three (3) consecutive months, OR  </w:t>
      </w:r>
    </w:p>
    <w:p>
      <w:r>
        <w:t>(b) Availability falls below 95% in any single month.</w:t>
      </w:r>
    </w:p>
    <w:p/>
    <w:p>
      <w:r>
        <w:t xml:space="preserve">14.2 Remedies  </w:t>
      </w:r>
    </w:p>
    <w:p>
      <w:r>
        <w:t xml:space="preserve">If Chronic Failure occurs, the Client may:  </w:t>
      </w:r>
    </w:p>
    <w:p>
      <w:r>
        <w:t xml:space="preserve">(a) request a root cause analysis (“RCA”);  </w:t>
      </w:r>
    </w:p>
    <w:p>
      <w:r>
        <w:t xml:space="preserve">(b) request a remediation plan;  </w:t>
      </w:r>
    </w:p>
    <w:p>
      <w:r>
        <w:t>(c) terminate the Agreement without penalty upon thirty (30) days’ written notice.</w:t>
      </w:r>
    </w:p>
    <w:p/>
    <w:p>
      <w:r>
        <w:t>-------------------------------------------</w:t>
      </w:r>
    </w:p>
    <w:p/>
    <w:p>
      <w:r>
        <w:t>SECTION 15 — EXCLUSIONS FROM SERVICE CREDITS</w:t>
      </w:r>
    </w:p>
    <w:p/>
    <w:p>
      <w:r>
        <w:t>Service Credits shall not be granted for failures caused by:</w:t>
      </w:r>
    </w:p>
    <w:p/>
    <w:p>
      <w:r>
        <w:t xml:space="preserve">(a) Excluded Events as defined in Part 2;  </w:t>
      </w:r>
    </w:p>
    <w:p>
      <w:r>
        <w:t xml:space="preserve">(b) Client-side incidents;  </w:t>
      </w:r>
    </w:p>
    <w:p>
      <w:r>
        <w:t xml:space="preserve">(c) denial-of-service attacks not caused by Company negligence;  </w:t>
      </w:r>
    </w:p>
    <w:p>
      <w:r>
        <w:t xml:space="preserve">(d) issues resulting from unsupported third-party integrations;  </w:t>
      </w:r>
    </w:p>
    <w:p>
      <w:r>
        <w:t xml:space="preserve">(e) beta or experimental features;  </w:t>
      </w:r>
    </w:p>
    <w:p>
      <w:r>
        <w:t xml:space="preserve">(f) features not described in Documentation;  </w:t>
      </w:r>
    </w:p>
    <w:p>
      <w:r>
        <w:t xml:space="preserve">(g) Force Majeure Events;  </w:t>
      </w:r>
    </w:p>
    <w:p>
      <w:r>
        <w:t>(h) failures caused by the Client’s breach of the MSA or SLA.</w:t>
      </w:r>
    </w:p>
    <w:p/>
    <w:p>
      <w:r>
        <w:t>-------------------------------------------</w:t>
      </w:r>
    </w:p>
    <w:p/>
    <w:p>
      <w:r>
        <w:t>SECTION 16 — ENFORCEMENT</w:t>
      </w:r>
    </w:p>
    <w:p/>
    <w:p>
      <w:r>
        <w:t xml:space="preserve">16.1 Sole Remedy  </w:t>
      </w:r>
    </w:p>
    <w:p>
      <w:r>
        <w:t>Service Credits constitute the Client’s sole and exclusive remedy for failure to meet the Uptime Commitment.</w:t>
      </w:r>
    </w:p>
    <w:p/>
    <w:p>
      <w:r>
        <w:t xml:space="preserve">16.2 No Other Damages  </w:t>
      </w:r>
    </w:p>
    <w:p>
      <w:r>
        <w:t>The Client shall not claim additional damages for uptime-related issues except as expressly permitted in the MSA.</w:t>
      </w:r>
    </w:p>
    <w:p/>
    <w:p>
      <w:r>
        <w:t>-------------------------------------------</w:t>
      </w:r>
    </w:p>
    <w:p/>
    <w:p>
      <w:r>
        <w:t>SECTION 17 — TERMINATION RIGHTS RELATED TO SLA</w:t>
      </w:r>
    </w:p>
    <w:p/>
    <w:p>
      <w:r>
        <w:t xml:space="preserve">17.1 Termination for Chronic Failure  </w:t>
      </w:r>
    </w:p>
    <w:p>
      <w:r>
        <w:t>The Client may terminate the Agreement under Section 14.2.</w:t>
      </w:r>
    </w:p>
    <w:p/>
    <w:p>
      <w:r>
        <w:t xml:space="preserve">17.2 No Penalty  </w:t>
      </w:r>
    </w:p>
    <w:p>
      <w:r>
        <w:t>Termination for Chronic Failure shall incur no early termination fees.</w:t>
      </w:r>
    </w:p>
    <w:p/>
    <w:p>
      <w:r>
        <w:t xml:space="preserve">17.3 Transition Assistance  </w:t>
      </w:r>
    </w:p>
    <w:p>
      <w:r>
        <w:t>The Company shall provide data export assistance consistent with the MSA.</w:t>
      </w:r>
    </w:p>
    <w:p/>
    <w:p>
      <w:r>
        <w:t>-------------------------------------------</w:t>
      </w:r>
    </w:p>
    <w:p/>
    <w:p>
      <w:r>
        <w:t>SECTION 18 — EFFECTIVE DATE</w:t>
      </w:r>
    </w:p>
    <w:p/>
    <w:p>
      <w:r>
        <w:t>The SLA takes effect on the date defined in Schedule 1.</w:t>
      </w:r>
    </w:p>
    <w:p/>
    <w:p>
      <w:r>
        <w:t>END OF PART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