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5" w:type="dxa"/>
        <w:jc w:val="center"/>
        <w:tblLayout w:type="fixed"/>
        <w:tblLook w:val="04A0" w:firstRow="1" w:lastRow="0" w:firstColumn="1" w:lastColumn="0" w:noHBand="0" w:noVBand="1"/>
      </w:tblPr>
      <w:tblGrid>
        <w:gridCol w:w="993"/>
        <w:gridCol w:w="1383"/>
        <w:gridCol w:w="4535"/>
        <w:gridCol w:w="1311"/>
        <w:gridCol w:w="1063"/>
      </w:tblGrid>
      <w:tr>
        <w:trPr>
          <w:trHeight w:val="142"/>
          <w:jc w:val="center"/>
        </w:trPr>
        <w:tc>
          <w:tcPr>
            <w:tcW w:w="9285" w:type="dxa"/>
            <w:gridSpan w:val="5"/>
          </w:tcPr>
          <w:p>
            <w:pPr>
              <w:spacing w:after="240"/>
              <w:rPr>
                <w:rFonts w:ascii="Garamond" w:hAnsi="Garamond"/>
              </w:rPr>
            </w:pPr>
            <w:bookmarkStart w:id="0" w:name="_GoBack"/>
            <w:bookmarkEnd w:id="0"/>
          </w:p>
        </w:tc>
      </w:tr>
      <w:tr>
        <w:trPr>
          <w:cantSplit/>
          <w:trHeight w:val="1286"/>
          <w:jc w:val="center"/>
        </w:trPr>
        <w:tc>
          <w:tcPr>
            <w:tcW w:w="2376" w:type="dxa"/>
            <w:gridSpan w:val="2"/>
            <w:vMerge w:val="restart"/>
            <w:vAlign w:val="bottom"/>
          </w:tcPr>
          <w:p>
            <w:pPr>
              <w:spacing w:after="240"/>
              <w:jc w:val="center"/>
              <w:rPr>
                <w:rFonts w:ascii="Garamond" w:hAnsi="Garamond"/>
                <w:b/>
                <w:u w:val="single"/>
              </w:rPr>
            </w:pPr>
          </w:p>
        </w:tc>
        <w:tc>
          <w:tcPr>
            <w:tcW w:w="4535" w:type="dxa"/>
            <w:tcBorders>
              <w:top w:val="nil"/>
              <w:left w:val="nil"/>
              <w:bottom w:val="single" w:sz="12" w:space="0" w:color="auto"/>
              <w:right w:val="nil"/>
            </w:tcBorders>
            <w:vAlign w:val="bottom"/>
            <w:hideMark/>
          </w:tcPr>
          <w:p>
            <w:pPr>
              <w:spacing w:after="240"/>
              <w:jc w:val="center"/>
              <w:rPr>
                <w:rFonts w:ascii="Garamond" w:hAnsi="Garamond"/>
                <w:b/>
                <w:sz w:val="28"/>
                <w:szCs w:val="28"/>
                <w:u w:val="single"/>
              </w:rPr>
            </w:pPr>
            <w:r>
              <w:rPr>
                <w:rFonts w:ascii="Garamond" w:hAnsi="Garamond"/>
                <w:b/>
                <w:sz w:val="28"/>
                <w:szCs w:val="28"/>
              </w:rPr>
              <w:t xml:space="preserve">Dated </w:t>
            </w:r>
            <w:r>
              <w:rPr>
                <w:rFonts w:ascii="Garamond" w:hAnsi="Garamond"/>
                <w:b/>
                <w:sz w:val="28"/>
                <w:szCs w:val="28"/>
                <w:highlight w:val="yellow"/>
              </w:rPr>
              <w:t>[●]</w:t>
            </w:r>
          </w:p>
        </w:tc>
        <w:tc>
          <w:tcPr>
            <w:tcW w:w="2374" w:type="dxa"/>
            <w:gridSpan w:val="2"/>
            <w:vMerge w:val="restart"/>
            <w:vAlign w:val="bottom"/>
          </w:tcPr>
          <w:p>
            <w:pPr>
              <w:spacing w:after="240"/>
              <w:jc w:val="center"/>
              <w:rPr>
                <w:rFonts w:ascii="Garamond" w:hAnsi="Garamond"/>
              </w:rPr>
            </w:pPr>
          </w:p>
        </w:tc>
      </w:tr>
      <w:tr>
        <w:trPr>
          <w:cantSplit/>
          <w:trHeight w:val="441"/>
          <w:jc w:val="center"/>
        </w:trPr>
        <w:tc>
          <w:tcPr>
            <w:tcW w:w="2376" w:type="dxa"/>
            <w:gridSpan w:val="2"/>
            <w:vMerge/>
            <w:vAlign w:val="center"/>
            <w:hideMark/>
          </w:tcPr>
          <w:p>
            <w:pPr>
              <w:spacing w:after="240"/>
              <w:jc w:val="center"/>
              <w:rPr>
                <w:rFonts w:ascii="Garamond" w:hAnsi="Garamond"/>
                <w:b/>
                <w:u w:val="single"/>
              </w:rPr>
            </w:pPr>
          </w:p>
        </w:tc>
        <w:tc>
          <w:tcPr>
            <w:tcW w:w="4535" w:type="dxa"/>
            <w:vAlign w:val="bottom"/>
          </w:tcPr>
          <w:p>
            <w:pPr>
              <w:spacing w:after="240"/>
              <w:jc w:val="center"/>
              <w:rPr>
                <w:rFonts w:ascii="Garamond" w:hAnsi="Garamond"/>
                <w:b/>
                <w:sz w:val="28"/>
                <w:szCs w:val="28"/>
              </w:rPr>
            </w:pPr>
          </w:p>
        </w:tc>
        <w:tc>
          <w:tcPr>
            <w:tcW w:w="2374" w:type="dxa"/>
            <w:gridSpan w:val="2"/>
            <w:vMerge/>
            <w:vAlign w:val="center"/>
            <w:hideMark/>
          </w:tcPr>
          <w:p>
            <w:pPr>
              <w:spacing w:after="240"/>
              <w:jc w:val="center"/>
              <w:rPr>
                <w:rFonts w:ascii="Garamond" w:hAnsi="Garamond"/>
              </w:rPr>
            </w:pPr>
          </w:p>
        </w:tc>
      </w:tr>
      <w:tr>
        <w:trPr>
          <w:trHeight w:val="1728"/>
          <w:jc w:val="center"/>
        </w:trPr>
        <w:tc>
          <w:tcPr>
            <w:tcW w:w="9285" w:type="dxa"/>
            <w:gridSpan w:val="5"/>
            <w:vAlign w:val="center"/>
            <w:hideMark/>
          </w:tcPr>
          <w:p>
            <w:pPr>
              <w:spacing w:after="240"/>
              <w:jc w:val="center"/>
              <w:rPr>
                <w:rFonts w:ascii="Garamond" w:hAnsi="Garamond"/>
                <w:b/>
                <w:sz w:val="28"/>
                <w:szCs w:val="28"/>
              </w:rPr>
            </w:pPr>
            <w:r>
              <w:rPr>
                <w:rFonts w:ascii="Garamond" w:hAnsi="Garamond"/>
                <w:b/>
                <w:sz w:val="28"/>
                <w:szCs w:val="28"/>
              </w:rPr>
              <w:t>EXECUTIVE AGREEMENT</w:t>
            </w:r>
          </w:p>
        </w:tc>
      </w:tr>
      <w:tr>
        <w:trPr>
          <w:gridBefore w:val="1"/>
          <w:gridAfter w:val="1"/>
          <w:wBefore w:w="993" w:type="dxa"/>
          <w:wAfter w:w="1063" w:type="dxa"/>
          <w:trHeight w:val="5756"/>
          <w:jc w:val="center"/>
        </w:trPr>
        <w:tc>
          <w:tcPr>
            <w:tcW w:w="7229" w:type="dxa"/>
            <w:gridSpan w:val="3"/>
            <w:vAlign w:val="center"/>
            <w:hideMark/>
          </w:tcPr>
          <w:p>
            <w:pPr>
              <w:spacing w:after="240"/>
              <w:jc w:val="center"/>
              <w:rPr>
                <w:rFonts w:ascii="Garamond" w:hAnsi="Garamond"/>
                <w:b/>
                <w:sz w:val="28"/>
                <w:szCs w:val="28"/>
              </w:rPr>
            </w:pPr>
            <w:r>
              <w:rPr>
                <w:rFonts w:ascii="Garamond" w:hAnsi="Garamond"/>
                <w:b/>
                <w:sz w:val="28"/>
                <w:szCs w:val="28"/>
              </w:rPr>
              <w:t>BETWEEN</w:t>
            </w:r>
          </w:p>
          <w:p>
            <w:pPr>
              <w:spacing w:after="240"/>
              <w:jc w:val="center"/>
              <w:rPr>
                <w:rFonts w:ascii="Garamond" w:hAnsi="Garamond"/>
                <w:b/>
                <w:sz w:val="28"/>
                <w:szCs w:val="28"/>
              </w:rPr>
            </w:pPr>
            <w:r>
              <w:rPr>
                <w:rFonts w:ascii="Garamond" w:hAnsi="Garamond"/>
                <w:b/>
                <w:sz w:val="28"/>
                <w:szCs w:val="28"/>
                <w:highlight w:val="yellow"/>
              </w:rPr>
              <w:t>[●]</w:t>
            </w:r>
          </w:p>
          <w:p>
            <w:pPr>
              <w:spacing w:after="240"/>
              <w:jc w:val="center"/>
              <w:rPr>
                <w:rFonts w:ascii="Garamond" w:hAnsi="Garamond"/>
                <w:b/>
                <w:sz w:val="28"/>
                <w:szCs w:val="28"/>
              </w:rPr>
            </w:pPr>
            <w:r>
              <w:rPr>
                <w:rFonts w:ascii="Garamond" w:hAnsi="Garamond"/>
                <w:b/>
                <w:sz w:val="28"/>
                <w:szCs w:val="28"/>
              </w:rPr>
              <w:t>(“Company”)</w:t>
            </w:r>
          </w:p>
          <w:p>
            <w:pPr>
              <w:spacing w:after="240"/>
              <w:jc w:val="center"/>
              <w:rPr>
                <w:rFonts w:ascii="Garamond" w:hAnsi="Garamond"/>
                <w:b/>
                <w:sz w:val="28"/>
                <w:szCs w:val="28"/>
                <w:u w:val="single"/>
              </w:rPr>
            </w:pPr>
          </w:p>
          <w:p>
            <w:pPr>
              <w:spacing w:after="240"/>
              <w:jc w:val="center"/>
              <w:rPr>
                <w:rFonts w:ascii="Garamond" w:hAnsi="Garamond"/>
                <w:b/>
                <w:sz w:val="28"/>
                <w:szCs w:val="28"/>
              </w:rPr>
            </w:pPr>
            <w:r>
              <w:rPr>
                <w:rFonts w:ascii="Garamond" w:hAnsi="Garamond"/>
                <w:b/>
                <w:sz w:val="28"/>
                <w:szCs w:val="28"/>
              </w:rPr>
              <w:t>AND</w:t>
            </w:r>
          </w:p>
          <w:p>
            <w:pPr>
              <w:spacing w:after="240"/>
              <w:jc w:val="center"/>
              <w:rPr>
                <w:rFonts w:ascii="Garamond" w:hAnsi="Garamond"/>
                <w:b/>
                <w:sz w:val="28"/>
                <w:szCs w:val="28"/>
                <w:u w:val="single"/>
              </w:rPr>
            </w:pPr>
          </w:p>
          <w:p>
            <w:pPr>
              <w:spacing w:after="240"/>
              <w:jc w:val="center"/>
              <w:rPr>
                <w:rFonts w:ascii="Garamond" w:hAnsi="Garamond"/>
                <w:b/>
                <w:sz w:val="28"/>
                <w:szCs w:val="28"/>
                <w:u w:val="single"/>
              </w:rPr>
            </w:pPr>
            <w:r>
              <w:rPr>
                <w:rFonts w:ascii="Garamond" w:hAnsi="Garamond"/>
                <w:b/>
                <w:sz w:val="28"/>
                <w:szCs w:val="28"/>
                <w:highlight w:val="yellow"/>
              </w:rPr>
              <w:t>[●]</w:t>
            </w:r>
          </w:p>
          <w:p>
            <w:pPr>
              <w:spacing w:after="240"/>
              <w:jc w:val="center"/>
              <w:rPr>
                <w:rFonts w:ascii="Garamond" w:hAnsi="Garamond"/>
                <w:b/>
                <w:sz w:val="28"/>
                <w:szCs w:val="28"/>
              </w:rPr>
            </w:pPr>
            <w:r>
              <w:rPr>
                <w:rFonts w:ascii="Garamond" w:hAnsi="Garamond"/>
                <w:b/>
                <w:sz w:val="28"/>
                <w:szCs w:val="28"/>
              </w:rPr>
              <w:t xml:space="preserve"> (“Executive”)</w:t>
            </w:r>
          </w:p>
          <w:p>
            <w:pPr>
              <w:spacing w:after="240"/>
              <w:jc w:val="center"/>
              <w:rPr>
                <w:rFonts w:ascii="Garamond" w:hAnsi="Garamond"/>
                <w:b/>
                <w:sz w:val="28"/>
                <w:szCs w:val="28"/>
                <w:u w:val="single"/>
              </w:rPr>
            </w:pPr>
          </w:p>
        </w:tc>
      </w:tr>
      <w:tr>
        <w:trPr>
          <w:trHeight w:val="851"/>
          <w:jc w:val="center"/>
        </w:trPr>
        <w:tc>
          <w:tcPr>
            <w:tcW w:w="9285" w:type="dxa"/>
            <w:gridSpan w:val="5"/>
            <w:vAlign w:val="bottom"/>
            <w:hideMark/>
          </w:tcPr>
          <w:p>
            <w:pPr>
              <w:spacing w:after="240"/>
              <w:jc w:val="center"/>
              <w:rPr>
                <w:rFonts w:ascii="Garamond" w:hAnsi="Garamond"/>
              </w:rPr>
            </w:pPr>
          </w:p>
        </w:tc>
      </w:tr>
    </w:tbl>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rPr>
      </w:pPr>
      <w:r>
        <w:rPr>
          <w:rFonts w:ascii="Garamond" w:hAnsi="Garamond"/>
          <w:b/>
        </w:rPr>
        <w:lastRenderedPageBreak/>
        <w:t xml:space="preserve">THIS EXECUTIVE AGREEMENT </w:t>
      </w:r>
      <w:r>
        <w:rPr>
          <w:rFonts w:ascii="Garamond" w:hAnsi="Garamond"/>
        </w:rPr>
        <w:t>is dated</w:t>
      </w:r>
      <w:r>
        <w:rPr>
          <w:rFonts w:ascii="Garamond" w:hAnsi="Garamond"/>
          <w:b/>
        </w:rPr>
        <w:t xml:space="preserve"> </w:t>
      </w:r>
      <w:r>
        <w:rPr>
          <w:rFonts w:ascii="Garamond" w:hAnsi="Garamond"/>
          <w:b/>
          <w:sz w:val="28"/>
          <w:szCs w:val="28"/>
          <w:highlight w:val="yellow"/>
        </w:rPr>
        <w:t>[●]</w:t>
      </w:r>
      <w:r>
        <w:rPr>
          <w:rFonts w:ascii="Garamond" w:hAnsi="Garamond"/>
          <w:b/>
          <w:sz w:val="28"/>
          <w:szCs w:val="28"/>
        </w:rPr>
        <w:t xml:space="preserve"> </w:t>
      </w:r>
      <w:r>
        <w:rPr>
          <w:rFonts w:ascii="Garamond" w:hAnsi="Garamond"/>
        </w:rPr>
        <w:t>and is made</w:t>
      </w:r>
      <w:r>
        <w:rPr>
          <w:rFonts w:ascii="Garamond" w:hAnsi="Garamond"/>
          <w:b/>
        </w:rPr>
        <w:t xml:space="preserve"> BETWEEN:</w:t>
      </w:r>
    </w:p>
    <w:p>
      <w:pPr>
        <w:jc w:val="both"/>
        <w:rPr>
          <w:rFonts w:ascii="Garamond" w:hAnsi="Garamond"/>
        </w:rPr>
      </w:pPr>
    </w:p>
    <w:p>
      <w:pPr>
        <w:jc w:val="both"/>
        <w:rPr>
          <w:rFonts w:ascii="Garamond" w:hAnsi="Garamond"/>
          <w:b/>
        </w:rPr>
      </w:pPr>
      <w:r>
        <w:rPr>
          <w:rFonts w:ascii="Garamond" w:hAnsi="Garamond"/>
          <w:b/>
        </w:rPr>
        <w:t>PARTIES</w:t>
      </w:r>
    </w:p>
    <w:p>
      <w:pPr>
        <w:jc w:val="both"/>
        <w:rPr>
          <w:rFonts w:ascii="Garamond" w:hAnsi="Garamond"/>
        </w:rPr>
      </w:pPr>
    </w:p>
    <w:p>
      <w:pPr>
        <w:pStyle w:val="ListParagraph"/>
        <w:numPr>
          <w:ilvl w:val="0"/>
          <w:numId w:val="9"/>
        </w:numPr>
        <w:jc w:val="both"/>
        <w:rPr>
          <w:rFonts w:ascii="Garamond" w:hAnsi="Garamond"/>
        </w:rPr>
      </w:pPr>
      <w:r>
        <w:rPr>
          <w:rFonts w:ascii="Garamond" w:hAnsi="Garamond"/>
          <w:b/>
          <w:sz w:val="28"/>
          <w:szCs w:val="28"/>
          <w:highlight w:val="yellow"/>
        </w:rPr>
        <w:t>[●]</w:t>
      </w:r>
      <w:r>
        <w:rPr>
          <w:rFonts w:ascii="Garamond" w:hAnsi="Garamond"/>
        </w:rPr>
        <w:t xml:space="preserve"> </w:t>
      </w:r>
      <w:r>
        <w:rPr>
          <w:rFonts w:ascii="Garamond" w:hAnsi="Garamond"/>
          <w:highlight w:val="yellow"/>
        </w:rPr>
        <w:t>[INSERT COMPANY REGISTRATION NO.]</w:t>
      </w:r>
      <w:r>
        <w:rPr>
          <w:rFonts w:ascii="Garamond" w:hAnsi="Garamond"/>
        </w:rPr>
        <w:t xml:space="preserve"> whose registered office is at </w:t>
      </w:r>
      <w:r>
        <w:rPr>
          <w:rFonts w:ascii="Garamond" w:hAnsi="Garamond"/>
          <w:b/>
          <w:sz w:val="28"/>
          <w:szCs w:val="28"/>
          <w:highlight w:val="yellow"/>
        </w:rPr>
        <w:t>[●]</w:t>
      </w:r>
      <w:r>
        <w:rPr>
          <w:rFonts w:ascii="Garamond" w:hAnsi="Garamond"/>
          <w:sz w:val="28"/>
          <w:szCs w:val="28"/>
        </w:rPr>
        <w:t xml:space="preserve"> </w:t>
      </w:r>
      <w:r>
        <w:rPr>
          <w:rFonts w:ascii="Garamond" w:hAnsi="Garamond"/>
        </w:rPr>
        <w:t>hereinafter called the “</w:t>
      </w:r>
      <w:r>
        <w:rPr>
          <w:rFonts w:ascii="Garamond" w:hAnsi="Garamond"/>
          <w:b/>
        </w:rPr>
        <w:t>Company</w:t>
      </w:r>
      <w:r>
        <w:rPr>
          <w:rFonts w:ascii="Garamond" w:hAnsi="Garamond"/>
        </w:rPr>
        <w:t>”;</w:t>
      </w:r>
    </w:p>
    <w:p>
      <w:pPr>
        <w:pStyle w:val="ListParagraph"/>
        <w:jc w:val="both"/>
        <w:rPr>
          <w:rFonts w:ascii="Garamond" w:hAnsi="Garamond"/>
        </w:rPr>
      </w:pPr>
    </w:p>
    <w:p>
      <w:pPr>
        <w:pStyle w:val="ListParagraph"/>
        <w:numPr>
          <w:ilvl w:val="0"/>
          <w:numId w:val="9"/>
        </w:numPr>
        <w:jc w:val="both"/>
        <w:rPr>
          <w:rFonts w:ascii="Garamond" w:hAnsi="Garamond"/>
        </w:rPr>
      </w:pPr>
      <w:r>
        <w:rPr>
          <w:rFonts w:ascii="Garamond" w:hAnsi="Garamond"/>
          <w:b/>
          <w:sz w:val="28"/>
          <w:szCs w:val="28"/>
          <w:highlight w:val="yellow"/>
        </w:rPr>
        <w:t>[●]</w:t>
      </w:r>
      <w:r>
        <w:rPr>
          <w:rFonts w:ascii="Garamond" w:hAnsi="Garamond"/>
        </w:rPr>
        <w:t xml:space="preserve"> (passport number </w:t>
      </w:r>
      <w:r>
        <w:rPr>
          <w:rFonts w:ascii="Garamond" w:hAnsi="Garamond"/>
          <w:b/>
          <w:sz w:val="28"/>
          <w:szCs w:val="28"/>
          <w:highlight w:val="yellow"/>
        </w:rPr>
        <w:t>[●]</w:t>
      </w:r>
      <w:r>
        <w:rPr>
          <w:rFonts w:ascii="Garamond" w:hAnsi="Garamond"/>
        </w:rPr>
        <w:t xml:space="preserve">) whose habitual residence is at </w:t>
      </w:r>
      <w:r>
        <w:rPr>
          <w:rFonts w:ascii="Garamond" w:hAnsi="Garamond"/>
          <w:b/>
          <w:sz w:val="28"/>
          <w:szCs w:val="28"/>
          <w:highlight w:val="yellow"/>
        </w:rPr>
        <w:t>[●]</w:t>
      </w:r>
      <w:r>
        <w:rPr>
          <w:rFonts w:ascii="Garamond" w:hAnsi="Garamond"/>
        </w:rPr>
        <w:t>, hereinafter called “</w:t>
      </w:r>
      <w:r>
        <w:rPr>
          <w:rFonts w:ascii="Garamond" w:hAnsi="Garamond"/>
          <w:b/>
        </w:rPr>
        <w:t>Executive</w:t>
      </w:r>
      <w:r>
        <w:rPr>
          <w:rFonts w:ascii="Garamond" w:hAnsi="Garamond"/>
        </w:rPr>
        <w:t>”;</w:t>
      </w:r>
    </w:p>
    <w:p>
      <w:pPr>
        <w:jc w:val="both"/>
        <w:rPr>
          <w:rFonts w:ascii="Garamond" w:hAnsi="Garamond"/>
        </w:rPr>
      </w:pPr>
    </w:p>
    <w:p>
      <w:pPr>
        <w:jc w:val="both"/>
        <w:rPr>
          <w:rFonts w:ascii="Garamond" w:hAnsi="Garamond"/>
          <w:b/>
        </w:rPr>
      </w:pPr>
      <w:r>
        <w:rPr>
          <w:rFonts w:ascii="Garamond" w:hAnsi="Garamond"/>
          <w:b/>
        </w:rPr>
        <w:t>RECITALS</w:t>
      </w:r>
    </w:p>
    <w:p>
      <w:pPr>
        <w:jc w:val="both"/>
        <w:rPr>
          <w:rFonts w:ascii="Garamond" w:hAnsi="Garamond"/>
        </w:rPr>
      </w:pPr>
    </w:p>
    <w:p>
      <w:pPr>
        <w:jc w:val="both"/>
        <w:rPr>
          <w:rFonts w:ascii="Garamond" w:hAnsi="Garamond"/>
        </w:rPr>
      </w:pPr>
      <w:r>
        <w:rPr>
          <w:rFonts w:ascii="Garamond" w:hAnsi="Garamond"/>
          <w:b/>
        </w:rPr>
        <w:t xml:space="preserve">WHEREAS, </w:t>
      </w:r>
      <w:r>
        <w:rPr>
          <w:rFonts w:ascii="Garamond" w:hAnsi="Garamond"/>
        </w:rPr>
        <w:t>the Company is in the business of [developing technology for the fashion and retail commerce (online and offline) industry; developing tools to facilitate sales, end user interaction, social networking, among others as well as the creation of a virtual avatar, fitting solution and digital three dimension renderings of garments; among other technology (software and hardware);]</w:t>
      </w:r>
      <w:r>
        <w:rPr>
          <w:rFonts w:ascii="Garamond" w:hAnsi="Garamond"/>
          <w:highlight w:val="yellow"/>
        </w:rPr>
        <w:t>[or]</w:t>
      </w:r>
      <w:r>
        <w:rPr>
          <w:rFonts w:ascii="Garamond" w:hAnsi="Garamond"/>
        </w:rPr>
        <w:t xml:space="preserve"> </w:t>
      </w:r>
      <w:r>
        <w:rPr>
          <w:rFonts w:ascii="Garamond" w:hAnsi="Garamond"/>
          <w:b/>
          <w:sz w:val="28"/>
          <w:szCs w:val="28"/>
          <w:highlight w:val="yellow"/>
        </w:rPr>
        <w:t>[●]</w:t>
      </w:r>
      <w:r>
        <w:rPr>
          <w:rFonts w:ascii="Garamond" w:hAnsi="Garamond"/>
          <w:sz w:val="28"/>
          <w:szCs w:val="28"/>
        </w:rPr>
        <w:t xml:space="preserve"> </w:t>
      </w:r>
      <w:r>
        <w:rPr>
          <w:rFonts w:ascii="Garamond" w:hAnsi="Garamond"/>
          <w:b/>
          <w:sz w:val="28"/>
          <w:szCs w:val="28"/>
          <w:highlight w:val="yellow"/>
        </w:rPr>
        <w:t>[DMS: Please clarify whether this template is to be used for StyleMe, Nogle or both]</w:t>
      </w:r>
    </w:p>
    <w:p>
      <w:pPr>
        <w:pStyle w:val="ListParagraph"/>
        <w:jc w:val="both"/>
        <w:rPr>
          <w:rFonts w:ascii="Garamond" w:hAnsi="Garamond"/>
        </w:rPr>
      </w:pPr>
    </w:p>
    <w:p>
      <w:pPr>
        <w:jc w:val="both"/>
        <w:rPr>
          <w:rFonts w:ascii="Garamond" w:hAnsi="Garamond"/>
        </w:rPr>
      </w:pPr>
      <w:r>
        <w:rPr>
          <w:rFonts w:ascii="Garamond" w:hAnsi="Garamond"/>
          <w:b/>
        </w:rPr>
        <w:t xml:space="preserve">WHEREAS, </w:t>
      </w:r>
      <w:r>
        <w:rPr>
          <w:rFonts w:ascii="Garamond" w:hAnsi="Garamond"/>
        </w:rPr>
        <w:t xml:space="preserve">the Executive has experience in </w:t>
      </w:r>
      <w:r>
        <w:rPr>
          <w:rFonts w:ascii="Garamond" w:hAnsi="Garamond"/>
          <w:highlight w:val="yellow"/>
        </w:rPr>
        <w:t>[INSERT AREAS OF EXPERTISE OF THE EXECUTIVE]</w:t>
      </w:r>
      <w:r>
        <w:rPr>
          <w:rFonts w:ascii="Garamond" w:hAnsi="Garamond"/>
        </w:rPr>
        <w:t>; and</w:t>
      </w:r>
    </w:p>
    <w:p>
      <w:pPr>
        <w:jc w:val="both"/>
        <w:rPr>
          <w:rFonts w:ascii="Garamond" w:hAnsi="Garamond"/>
        </w:rPr>
      </w:pPr>
    </w:p>
    <w:p>
      <w:pPr>
        <w:jc w:val="both"/>
        <w:rPr>
          <w:rFonts w:ascii="Garamond" w:hAnsi="Garamond"/>
        </w:rPr>
      </w:pPr>
      <w:r>
        <w:rPr>
          <w:rFonts w:ascii="Garamond" w:hAnsi="Garamond"/>
          <w:b/>
        </w:rPr>
        <w:t>WHEREAS</w:t>
      </w:r>
      <w:r>
        <w:rPr>
          <w:rFonts w:ascii="Garamond" w:hAnsi="Garamond"/>
        </w:rPr>
        <w:t>, the Company and the Executive hereby agree to be engaged in accordance with the terms and conditions mentioned in this Agreement.</w:t>
      </w:r>
    </w:p>
    <w:p>
      <w:pPr>
        <w:jc w:val="both"/>
        <w:rPr>
          <w:rFonts w:ascii="Garamond" w:hAnsi="Garamond"/>
        </w:rPr>
      </w:pPr>
    </w:p>
    <w:p>
      <w:pPr>
        <w:jc w:val="both"/>
        <w:rPr>
          <w:rFonts w:ascii="Garamond" w:hAnsi="Garamond"/>
        </w:rPr>
      </w:pPr>
      <w:r>
        <w:rPr>
          <w:rFonts w:ascii="Garamond" w:hAnsi="Garamond"/>
          <w:lang w:val="en-US"/>
        </w:rPr>
        <w:t>Now therefore, in consideration of the mutual promises made herein, for valuable consideration and such other terms and conditions hereinafter set forth, the Parties agree as follows:</w:t>
      </w:r>
    </w:p>
    <w:p>
      <w:pPr>
        <w:jc w:val="both"/>
        <w:rPr>
          <w:rFonts w:ascii="Garamond" w:hAnsi="Garamond"/>
        </w:rPr>
      </w:pPr>
    </w:p>
    <w:p>
      <w:pPr>
        <w:jc w:val="both"/>
        <w:rPr>
          <w:rFonts w:ascii="Garamond" w:hAnsi="Garamond"/>
          <w:b/>
        </w:rPr>
      </w:pPr>
      <w:r>
        <w:rPr>
          <w:rFonts w:ascii="Garamond" w:hAnsi="Garamond"/>
          <w:b/>
        </w:rPr>
        <w:t>TERMS AND CONDITIONS</w:t>
      </w:r>
    </w:p>
    <w:p>
      <w:pPr>
        <w:jc w:val="both"/>
        <w:rPr>
          <w:rFonts w:ascii="Garamond" w:hAnsi="Garamond"/>
        </w:rPr>
      </w:pPr>
    </w:p>
    <w:p>
      <w:pPr>
        <w:pStyle w:val="ListParagraph"/>
        <w:numPr>
          <w:ilvl w:val="0"/>
          <w:numId w:val="5"/>
        </w:numPr>
        <w:jc w:val="both"/>
        <w:rPr>
          <w:rFonts w:ascii="Garamond" w:hAnsi="Garamond"/>
          <w:b/>
        </w:rPr>
      </w:pPr>
      <w:r>
        <w:rPr>
          <w:rFonts w:ascii="Garamond" w:hAnsi="Garamond"/>
          <w:b/>
        </w:rPr>
        <w:t>Definitions and Interpretation</w:t>
      </w:r>
    </w:p>
    <w:p>
      <w:pPr>
        <w:jc w:val="both"/>
        <w:rPr>
          <w:rFonts w:ascii="Garamond" w:hAnsi="Garamond"/>
        </w:rPr>
      </w:pPr>
    </w:p>
    <w:p>
      <w:pPr>
        <w:pStyle w:val="ListParagraph"/>
        <w:numPr>
          <w:ilvl w:val="1"/>
          <w:numId w:val="5"/>
        </w:numPr>
        <w:jc w:val="both"/>
        <w:rPr>
          <w:rFonts w:ascii="Garamond" w:hAnsi="Garamond"/>
        </w:rPr>
      </w:pPr>
      <w:r>
        <w:rPr>
          <w:rFonts w:ascii="Garamond" w:hAnsi="Garamond"/>
        </w:rPr>
        <w:t>In this Agreement, unless the context requires otherwise or specifically defined, any the following terms shall have the meaning set out herein:</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Agreement</w:t>
      </w:r>
      <w:r>
        <w:rPr>
          <w:rFonts w:ascii="Garamond" w:hAnsi="Garamond"/>
        </w:rPr>
        <w:t>: means this agreement, its Annexures and all documents, statutes, enactments or statutory provisions referenced in it;</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Arbitration Centre</w:t>
      </w:r>
      <w:r>
        <w:rPr>
          <w:rFonts w:ascii="Garamond" w:hAnsi="Garamond"/>
        </w:rPr>
        <w:t>: means the Hong Kong International Arbitration Centre (“HKIAC”);</w:t>
      </w:r>
    </w:p>
    <w:p>
      <w:pPr>
        <w:ind w:left="1440" w:hanging="720"/>
        <w:jc w:val="both"/>
        <w:rPr>
          <w:rFonts w:ascii="Garamond" w:hAnsi="Garamond"/>
          <w:b/>
        </w:rPr>
      </w:pPr>
    </w:p>
    <w:p>
      <w:pPr>
        <w:pStyle w:val="ListParagraph"/>
        <w:numPr>
          <w:ilvl w:val="2"/>
          <w:numId w:val="5"/>
        </w:numPr>
        <w:ind w:left="1440" w:hanging="720"/>
        <w:jc w:val="both"/>
        <w:rPr>
          <w:rFonts w:ascii="Garamond" w:hAnsi="Garamond"/>
        </w:rPr>
      </w:pPr>
      <w:r>
        <w:rPr>
          <w:rFonts w:ascii="Garamond" w:hAnsi="Garamond"/>
          <w:b/>
        </w:rPr>
        <w:t>Authorisations</w:t>
      </w:r>
      <w:r>
        <w:rPr>
          <w:rFonts w:ascii="Garamond" w:hAnsi="Garamond"/>
        </w:rPr>
        <w:t>: means all relevant approvals, consents, licenses, permits, leases and/or waivers required by Law and/or any Competent Authority in relation to each of the Parties and/or the subject of this Agreement;</w:t>
      </w:r>
    </w:p>
    <w:p>
      <w:pPr>
        <w:pStyle w:val="ListParagraph"/>
        <w:ind w:left="1440" w:hanging="720"/>
        <w:rPr>
          <w:rFonts w:ascii="Garamond" w:hAnsi="Garamond"/>
        </w:rPr>
      </w:pPr>
    </w:p>
    <w:p>
      <w:pPr>
        <w:pStyle w:val="ListParagraph"/>
        <w:numPr>
          <w:ilvl w:val="2"/>
          <w:numId w:val="5"/>
        </w:numPr>
        <w:ind w:left="1440" w:hanging="720"/>
        <w:jc w:val="both"/>
        <w:rPr>
          <w:rFonts w:ascii="Garamond" w:hAnsi="Garamond"/>
        </w:rPr>
      </w:pPr>
      <w:r>
        <w:rPr>
          <w:rFonts w:ascii="Garamond" w:hAnsi="Garamond"/>
          <w:b/>
        </w:rPr>
        <w:t>Basic Remuneration</w:t>
      </w:r>
      <w:r>
        <w:rPr>
          <w:rFonts w:ascii="Garamond" w:hAnsi="Garamond"/>
        </w:rPr>
        <w:t>: means the amount set out and specified in Annexure B;</w:t>
      </w:r>
    </w:p>
    <w:p>
      <w:pPr>
        <w:jc w:val="both"/>
        <w:rPr>
          <w:rFonts w:ascii="Garamond" w:hAnsi="Garamond"/>
          <w:b/>
        </w:rPr>
      </w:pPr>
    </w:p>
    <w:p>
      <w:pPr>
        <w:pStyle w:val="ListParagraph"/>
        <w:numPr>
          <w:ilvl w:val="2"/>
          <w:numId w:val="5"/>
        </w:numPr>
        <w:ind w:left="1440" w:hanging="720"/>
        <w:jc w:val="both"/>
        <w:rPr>
          <w:rFonts w:ascii="Garamond" w:hAnsi="Garamond"/>
        </w:rPr>
      </w:pPr>
      <w:r>
        <w:rPr>
          <w:rFonts w:ascii="Garamond" w:hAnsi="Garamond"/>
          <w:b/>
        </w:rPr>
        <w:t>Board</w:t>
      </w:r>
      <w:r>
        <w:rPr>
          <w:rFonts w:ascii="Garamond" w:hAnsi="Garamond"/>
        </w:rPr>
        <w:t>: means the Board of Directors of the Company;</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Business Day</w:t>
      </w:r>
      <w:r>
        <w:rPr>
          <w:rFonts w:ascii="Garamond" w:hAnsi="Garamond"/>
        </w:rPr>
        <w:t>: means any day which is not Saturday, Sunday or a Public Holiday in Taiwan or Hong Kong;</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Business Hours</w:t>
      </w:r>
      <w:r>
        <w:rPr>
          <w:rFonts w:ascii="Garamond" w:hAnsi="Garamond"/>
        </w:rPr>
        <w:t>: means ten (1000) hours to nineteen (1900) hours UTC +8 hours on a Business Day;</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Confidential Information</w:t>
      </w:r>
      <w:r>
        <w:rPr>
          <w:rFonts w:ascii="Garamond" w:hAnsi="Garamond"/>
        </w:rPr>
        <w:t xml:space="preserve">: means </w:t>
      </w:r>
      <w:r>
        <w:rPr>
          <w:rFonts w:ascii="Garamond" w:hAnsi="Garamond"/>
          <w:iCs/>
          <w:lang w:val="en-US"/>
        </w:rPr>
        <w:t xml:space="preserve">any information, data or materials </w:t>
      </w:r>
      <w:r>
        <w:rPr>
          <w:rFonts w:ascii="Garamond" w:hAnsi="Garamond"/>
          <w:lang w:val="en-US"/>
        </w:rPr>
        <w:t>(whether or not and howsoever recorded)</w:t>
      </w:r>
      <w:r>
        <w:rPr>
          <w:rFonts w:ascii="Garamond" w:hAnsi="Garamond"/>
          <w:iCs/>
          <w:lang w:val="en-US"/>
        </w:rPr>
        <w:t xml:space="preserve"> of a proprietary or confidential nature, whether in oral, written, graphic, machine-readable form, or in any other form (“Confidential Materials”), relating to the Parties or its Related Company, their past, present or future products or services, including but not limited to: any Confidential Materials </w:t>
      </w:r>
      <w:r>
        <w:rPr>
          <w:rFonts w:ascii="Garamond" w:hAnsi="Garamond"/>
          <w:lang w:val="en-US"/>
        </w:rPr>
        <w:t>which a Party or its Related Company treats or marks as confidential or in respect of which it owes an obligation of confidentiality to any third person</w:t>
      </w:r>
      <w:r>
        <w:rPr>
          <w:rFonts w:ascii="Garamond" w:hAnsi="Garamond"/>
          <w:iCs/>
          <w:lang w:val="en-US"/>
        </w:rPr>
        <w:t xml:space="preserve">; any trade secrets; </w:t>
      </w:r>
      <w:r>
        <w:rPr>
          <w:rFonts w:ascii="Garamond" w:hAnsi="Garamond"/>
          <w:lang w:val="en-US"/>
        </w:rPr>
        <w:t>secret formulae, processes; techniques;</w:t>
      </w:r>
      <w:r>
        <w:rPr>
          <w:rFonts w:ascii="Garamond" w:hAnsi="Garamond"/>
          <w:iCs/>
          <w:lang w:val="en-US"/>
        </w:rPr>
        <w:t xml:space="preserve"> Intellectual Property; documentation, files, graphics, surveys, plans, drawings, presentations, reports, charts, lists, and tables; conversations or expressions; samples, models or prototypes, or parts thereof (when appropriate); information or data of a business, Company, clients, including but not limited to corporate, financial, technical, scientific, legal, operational, proprietary, developmental, marketing, sales, price, operating, performance, cost, know-how, and/or process information; </w:t>
      </w:r>
      <w:r>
        <w:rPr>
          <w:rFonts w:ascii="Garamond" w:hAnsi="Garamond"/>
          <w:lang w:val="en-US"/>
        </w:rPr>
        <w:t xml:space="preserve">information about the directors, officers, employees, key personnel, agents and representatives; </w:t>
      </w:r>
      <w:r>
        <w:rPr>
          <w:rFonts w:ascii="Garamond" w:hAnsi="Garamond"/>
          <w:iCs/>
          <w:lang w:val="en-US"/>
        </w:rPr>
        <w:t>computer programming techniques, and all record bearing media containing or disclosing such information and techniques; any or all of which is disclosed whether in writing, orally or by any other means by one Party ("</w:t>
      </w:r>
      <w:r>
        <w:rPr>
          <w:rFonts w:ascii="Garamond" w:hAnsi="Garamond"/>
          <w:b/>
          <w:bCs/>
          <w:iCs/>
          <w:lang w:val="en-US"/>
        </w:rPr>
        <w:t>Discloser</w:t>
      </w:r>
      <w:r>
        <w:rPr>
          <w:rFonts w:ascii="Garamond" w:hAnsi="Garamond"/>
          <w:iCs/>
          <w:lang w:val="en-US"/>
        </w:rPr>
        <w:t>") or by a third person acting on behalf of the Discloser, to the other Party ("</w:t>
      </w:r>
      <w:r>
        <w:rPr>
          <w:rFonts w:ascii="Garamond" w:hAnsi="Garamond"/>
          <w:b/>
          <w:bCs/>
          <w:iCs/>
          <w:lang w:val="en-US"/>
        </w:rPr>
        <w:t>Recipient</w:t>
      </w:r>
      <w:r>
        <w:rPr>
          <w:rFonts w:ascii="Garamond" w:hAnsi="Garamond"/>
          <w:iCs/>
          <w:lang w:val="en-US"/>
        </w:rPr>
        <w:t>") whether before or after the date of this Agreement;</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Commencement Date</w:t>
      </w:r>
      <w:r>
        <w:rPr>
          <w:rFonts w:ascii="Garamond" w:hAnsi="Garamond"/>
        </w:rPr>
        <w:t xml:space="preserve">: means </w:t>
      </w:r>
      <w:r>
        <w:rPr>
          <w:rFonts w:ascii="Garamond" w:hAnsi="Garamond"/>
          <w:b/>
          <w:sz w:val="28"/>
          <w:szCs w:val="28"/>
          <w:highlight w:val="yellow"/>
        </w:rPr>
        <w:t>[●]</w:t>
      </w:r>
      <w:r>
        <w:rPr>
          <w:rFonts w:ascii="Garamond" w:hAnsi="Garamond"/>
        </w:rPr>
        <w:t>;</w:t>
      </w:r>
    </w:p>
    <w:p>
      <w:pPr>
        <w:jc w:val="both"/>
        <w:rPr>
          <w:rFonts w:ascii="Garamond" w:hAnsi="Garamond"/>
          <w:b/>
        </w:rPr>
      </w:pPr>
    </w:p>
    <w:p>
      <w:pPr>
        <w:pStyle w:val="ListParagraph"/>
        <w:numPr>
          <w:ilvl w:val="2"/>
          <w:numId w:val="5"/>
        </w:numPr>
        <w:ind w:left="1440" w:hanging="720"/>
        <w:jc w:val="both"/>
        <w:rPr>
          <w:rFonts w:ascii="Garamond" w:hAnsi="Garamond"/>
        </w:rPr>
      </w:pPr>
      <w:r>
        <w:rPr>
          <w:rFonts w:ascii="Garamond" w:hAnsi="Garamond"/>
          <w:b/>
        </w:rPr>
        <w:t>Competent Authority</w:t>
      </w:r>
      <w:r>
        <w:rPr>
          <w:rFonts w:ascii="Garamond" w:hAnsi="Garamond"/>
        </w:rPr>
        <w:t>: means any governmental, quasi-governmental, judicial, administrative or regulatory entity, agency, authority, or body having jurisdiction over this Agreement, either of the Parties or any activity of either of the Parties;</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Garden Leave</w:t>
      </w:r>
      <w:r>
        <w:rPr>
          <w:rFonts w:ascii="Garamond" w:hAnsi="Garamond"/>
        </w:rPr>
        <w:t>: means any period during which the Company has exercised its rights under Clause 4.5 of this Agreement;</w:t>
      </w:r>
    </w:p>
    <w:p>
      <w:pPr>
        <w:jc w:val="both"/>
        <w:rPr>
          <w:rFonts w:ascii="Garamond" w:hAnsi="Garamond"/>
          <w:b/>
        </w:rPr>
      </w:pPr>
    </w:p>
    <w:p>
      <w:pPr>
        <w:pStyle w:val="ListParagraph"/>
        <w:numPr>
          <w:ilvl w:val="2"/>
          <w:numId w:val="5"/>
        </w:numPr>
        <w:ind w:left="1440" w:hanging="720"/>
        <w:jc w:val="both"/>
        <w:rPr>
          <w:rFonts w:ascii="Garamond" w:hAnsi="Garamond"/>
        </w:rPr>
      </w:pPr>
      <w:r>
        <w:rPr>
          <w:rFonts w:ascii="Garamond" w:hAnsi="Garamond"/>
          <w:b/>
        </w:rPr>
        <w:t>Force Majeure</w:t>
      </w:r>
      <w:r>
        <w:rPr>
          <w:rFonts w:ascii="Garamond" w:hAnsi="Garamond"/>
        </w:rPr>
        <w:t xml:space="preserve">: means </w:t>
      </w:r>
      <w:r>
        <w:rPr>
          <w:rFonts w:ascii="Garamond" w:hAnsi="Garamond"/>
          <w:lang w:val="en-AU"/>
        </w:rPr>
        <w:t xml:space="preserve">any act, event or cause (other than lack of funds) which is beyond the reasonable control of the Parties including but not limited to acts of God, peril of the sea, accident of navigation, war, sabotage, riot, insurrection, civil commotion, national emergency (whether in fact or law), martial law, fire, lightning, flood, cyclone, earthquake, landslide, storm or other adverse weather conditions, explosion, power shortage, strike or other labour difficulty (whether or not involving employees related to the Parties), epidemic, quarantine, radiation or radioactive contamination, action or inaction of any Competent Authority (including nationalisation, expropriation, restraint, </w:t>
      </w:r>
      <w:r>
        <w:rPr>
          <w:rFonts w:ascii="Garamond" w:hAnsi="Garamond"/>
          <w:lang w:val="en-AU"/>
        </w:rPr>
        <w:lastRenderedPageBreak/>
        <w:t>prohibition, intervention, requisition, requirement, direction or embargo by legislation, regulation, decree or other legally enforceable order), breakdown of plant, machinery or equipment or shortages of labour, transportation, fuel, power or plant, machinery, equipment or material;</w:t>
      </w:r>
    </w:p>
    <w:p>
      <w:pPr>
        <w:jc w:val="both"/>
        <w:rPr>
          <w:rFonts w:ascii="Garamond" w:hAnsi="Garamond"/>
          <w:lang w:val="en-AU"/>
        </w:rPr>
      </w:pPr>
    </w:p>
    <w:p>
      <w:pPr>
        <w:pStyle w:val="ListParagraph"/>
        <w:numPr>
          <w:ilvl w:val="2"/>
          <w:numId w:val="5"/>
        </w:numPr>
        <w:ind w:left="1440" w:hanging="720"/>
        <w:jc w:val="both"/>
        <w:rPr>
          <w:rFonts w:ascii="Garamond" w:hAnsi="Garamond"/>
        </w:rPr>
      </w:pPr>
      <w:r>
        <w:rPr>
          <w:rFonts w:ascii="Garamond" w:hAnsi="Garamond"/>
          <w:b/>
          <w:lang w:val="en-AU"/>
        </w:rPr>
        <w:t>Hong Kong:</w:t>
      </w:r>
      <w:r>
        <w:rPr>
          <w:rFonts w:ascii="Garamond" w:hAnsi="Garamond"/>
          <w:lang w:val="en-AU"/>
        </w:rPr>
        <w:t xml:space="preserve"> means the Hong Kong Special Administrative Region of the People’s Republic of China;</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Intellectual Property</w:t>
      </w:r>
      <w:r>
        <w:rPr>
          <w:rFonts w:ascii="Garamond" w:hAnsi="Garamond"/>
        </w:rPr>
        <w:t xml:space="preserve">: means </w:t>
      </w:r>
      <w:r>
        <w:rPr>
          <w:rFonts w:ascii="Garamond" w:hAnsi="Garamond"/>
          <w:lang w:val="en-US"/>
        </w:rPr>
        <w:t>all intellectual property rights including but not limited to copyrights, design rights, patents, trade marks, service marks, data base rights, applications for any of the above, moral rights, know-how, domain names, website designs or any other intellectual or industrial property rights and rights of a similar nature arising or subsisting in any part of the world, whether or not registered or capable of registration and applications for registration for any of the foregoing and the right to apply for them;</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Law</w:t>
      </w:r>
      <w:r>
        <w:rPr>
          <w:rFonts w:ascii="Garamond" w:hAnsi="Garamond"/>
        </w:rPr>
        <w:t>: means any statute, regulation, ordinance, judgment, order, decree, code, standard or guideline (to the extent it is mandatory) or policy (to the extent it is mandatory), or any similar form of decision of, or determination by, or any interpretation or administration of any of the foregoing by any Competent Authority, or that is applicable to this Agreement or to any of the Parties, whether in effect before or after the date of this Agreement, as amended from time to time;</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Licences</w:t>
      </w:r>
      <w:r>
        <w:rPr>
          <w:rFonts w:ascii="Garamond" w:hAnsi="Garamond"/>
        </w:rPr>
        <w:t xml:space="preserve">: means </w:t>
      </w:r>
      <w:r>
        <w:rPr>
          <w:rFonts w:ascii="Garamond" w:hAnsi="Garamond"/>
          <w:lang w:val="en-US"/>
        </w:rPr>
        <w:t>the authorizations for and any rights directly or indirectly related or ancillary to the business of the Company;</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Party</w:t>
      </w:r>
      <w:r>
        <w:rPr>
          <w:rFonts w:ascii="Garamond" w:hAnsi="Garamond"/>
        </w:rPr>
        <w:t>: means a party to this Agreement, where Parties means all parties to this Agreement;</w:t>
      </w:r>
    </w:p>
    <w:p>
      <w:pPr>
        <w:jc w:val="both"/>
        <w:rPr>
          <w:rFonts w:ascii="Garamond" w:hAnsi="Garamond"/>
        </w:rPr>
      </w:pPr>
    </w:p>
    <w:p>
      <w:pPr>
        <w:pStyle w:val="ListParagraph"/>
        <w:numPr>
          <w:ilvl w:val="2"/>
          <w:numId w:val="5"/>
        </w:numPr>
        <w:jc w:val="both"/>
        <w:rPr>
          <w:rFonts w:ascii="Garamond" w:hAnsi="Garamond"/>
        </w:rPr>
      </w:pPr>
      <w:r>
        <w:rPr>
          <w:rFonts w:ascii="Garamond" w:hAnsi="Garamond"/>
          <w:b/>
        </w:rPr>
        <w:t>PDPO</w:t>
      </w:r>
      <w:r>
        <w:rPr>
          <w:rFonts w:ascii="Garamond" w:hAnsi="Garamond"/>
        </w:rPr>
        <w:t>: means the Personal Data (Privacy) Ordinance of Hong Kong;</w:t>
      </w:r>
    </w:p>
    <w:p>
      <w:pPr>
        <w:jc w:val="both"/>
        <w:rPr>
          <w:rFonts w:ascii="Garamond" w:hAnsi="Garamond"/>
          <w:b/>
        </w:rPr>
      </w:pPr>
    </w:p>
    <w:p>
      <w:pPr>
        <w:pStyle w:val="ListParagraph"/>
        <w:numPr>
          <w:ilvl w:val="2"/>
          <w:numId w:val="5"/>
        </w:numPr>
        <w:jc w:val="both"/>
        <w:rPr>
          <w:rFonts w:ascii="Garamond" w:hAnsi="Garamond"/>
        </w:rPr>
      </w:pPr>
      <w:r>
        <w:rPr>
          <w:rFonts w:ascii="Garamond" w:hAnsi="Garamond"/>
          <w:b/>
        </w:rPr>
        <w:t>Personal Data</w:t>
      </w:r>
      <w:r>
        <w:rPr>
          <w:rFonts w:ascii="Garamond" w:hAnsi="Garamond"/>
        </w:rPr>
        <w:t>: means the definition set out for it in the PDPO;</w:t>
      </w:r>
    </w:p>
    <w:p>
      <w:pPr>
        <w:jc w:val="both"/>
        <w:rPr>
          <w:rFonts w:ascii="Garamond" w:hAnsi="Garamond"/>
          <w:b/>
        </w:rPr>
      </w:pPr>
    </w:p>
    <w:p>
      <w:pPr>
        <w:pStyle w:val="ListParagraph"/>
        <w:numPr>
          <w:ilvl w:val="2"/>
          <w:numId w:val="5"/>
        </w:numPr>
        <w:ind w:left="1440" w:hanging="720"/>
        <w:jc w:val="both"/>
        <w:rPr>
          <w:rFonts w:ascii="Garamond" w:hAnsi="Garamond"/>
        </w:rPr>
      </w:pPr>
      <w:r>
        <w:rPr>
          <w:rFonts w:ascii="Garamond" w:hAnsi="Garamond"/>
          <w:b/>
        </w:rPr>
        <w:t>Press Release</w:t>
      </w:r>
      <w:r>
        <w:rPr>
          <w:rFonts w:ascii="Garamond" w:hAnsi="Garamond"/>
        </w:rPr>
        <w:t>: means any public announcement, statement, release or distribution of information in written or oral form to any journalist, media agency, person or third party with regards to anything directly or indirectly related to the Parties and/or this Agreement;</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Public Holiday</w:t>
      </w:r>
      <w:r>
        <w:rPr>
          <w:rFonts w:ascii="Garamond" w:hAnsi="Garamond"/>
        </w:rPr>
        <w:t>: means any day that by official decree is deemed to be an official public holiday or bank holiday in Taiwan or Hong Kong;</w:t>
      </w:r>
    </w:p>
    <w:p>
      <w:pPr>
        <w:pStyle w:val="ListParagraph"/>
        <w:rPr>
          <w:rFonts w:ascii="Garamond" w:hAnsi="Garamond"/>
        </w:rPr>
      </w:pPr>
    </w:p>
    <w:p>
      <w:pPr>
        <w:pStyle w:val="ListParagraph"/>
        <w:numPr>
          <w:ilvl w:val="2"/>
          <w:numId w:val="5"/>
        </w:numPr>
        <w:jc w:val="both"/>
        <w:rPr>
          <w:rFonts w:ascii="Garamond" w:hAnsi="Garamond"/>
        </w:rPr>
      </w:pPr>
      <w:r>
        <w:rPr>
          <w:rFonts w:ascii="Garamond" w:hAnsi="Garamond"/>
          <w:b/>
        </w:rPr>
        <w:t>Related Company</w:t>
      </w:r>
      <w:r>
        <w:rPr>
          <w:rFonts w:ascii="Garamond" w:hAnsi="Garamond"/>
        </w:rPr>
        <w:t>: means in this Agreement:</w:t>
      </w:r>
    </w:p>
    <w:p>
      <w:pPr>
        <w:jc w:val="both"/>
        <w:rPr>
          <w:rFonts w:ascii="Garamond" w:hAnsi="Garamond"/>
        </w:rPr>
      </w:pPr>
    </w:p>
    <w:p>
      <w:pPr>
        <w:pStyle w:val="ListParagraph"/>
        <w:numPr>
          <w:ilvl w:val="3"/>
          <w:numId w:val="5"/>
        </w:numPr>
        <w:ind w:left="2268" w:hanging="850"/>
        <w:jc w:val="both"/>
        <w:rPr>
          <w:rFonts w:ascii="Garamond" w:hAnsi="Garamond"/>
        </w:rPr>
      </w:pPr>
      <w:r>
        <w:rPr>
          <w:rFonts w:ascii="Garamond" w:hAnsi="Garamond"/>
        </w:rPr>
        <w:t xml:space="preserve">in relation to any Company, a “Holding Company” (as defined in clause </w:t>
      </w:r>
      <w:r>
        <w:fldChar w:fldCharType="begin"/>
      </w:r>
      <w:r>
        <w:instrText xml:space="preserve"> REF _Ref248840576 \r \h  \* MERGEFORMAT </w:instrText>
      </w:r>
      <w:r>
        <w:fldChar w:fldCharType="separate"/>
      </w:r>
      <w:r>
        <w:rPr>
          <w:rFonts w:ascii="Garamond" w:hAnsi="Garamond"/>
        </w:rPr>
        <w:t>1.2.1</w:t>
      </w:r>
      <w:r>
        <w:fldChar w:fldCharType="end"/>
      </w:r>
      <w:r>
        <w:rPr>
          <w:rFonts w:ascii="Garamond" w:hAnsi="Garamond"/>
        </w:rPr>
        <w:t xml:space="preserve">)  or a “Subsidiary” (as defined in clause </w:t>
      </w:r>
      <w:r>
        <w:fldChar w:fldCharType="begin"/>
      </w:r>
      <w:r>
        <w:instrText xml:space="preserve"> REF _Ref248840576 \r \h  \* MERGEFORMAT </w:instrText>
      </w:r>
      <w:r>
        <w:fldChar w:fldCharType="separate"/>
      </w:r>
      <w:r>
        <w:rPr>
          <w:rFonts w:ascii="Garamond" w:hAnsi="Garamond"/>
        </w:rPr>
        <w:t>1.2.1</w:t>
      </w:r>
      <w:r>
        <w:fldChar w:fldCharType="end"/>
      </w:r>
      <w:r>
        <w:rPr>
          <w:rFonts w:ascii="Garamond" w:hAnsi="Garamond"/>
        </w:rPr>
        <w:t>) of such Company;</w:t>
      </w:r>
    </w:p>
    <w:p>
      <w:pPr>
        <w:jc w:val="both"/>
        <w:rPr>
          <w:rFonts w:ascii="Garamond" w:hAnsi="Garamond"/>
        </w:rPr>
      </w:pPr>
    </w:p>
    <w:p>
      <w:pPr>
        <w:pStyle w:val="ListParagraph"/>
        <w:numPr>
          <w:ilvl w:val="3"/>
          <w:numId w:val="5"/>
        </w:numPr>
        <w:ind w:left="2268" w:hanging="850"/>
        <w:jc w:val="both"/>
        <w:rPr>
          <w:rFonts w:ascii="Garamond" w:hAnsi="Garamond"/>
        </w:rPr>
      </w:pPr>
      <w:r>
        <w:rPr>
          <w:rFonts w:ascii="Garamond" w:hAnsi="Garamond"/>
        </w:rPr>
        <w:t xml:space="preserve">a Company whose equity share capital (as defined by applicable Law) is, as to twenty per cent (20%) or more but less than fifty </w:t>
      </w:r>
      <w:r>
        <w:rPr>
          <w:rFonts w:ascii="Garamond" w:hAnsi="Garamond"/>
        </w:rPr>
        <w:lastRenderedPageBreak/>
        <w:t xml:space="preserve">per cent (50%), beneficially owned by a “Holding Company” (as defined in clause </w:t>
      </w:r>
      <w:r>
        <w:fldChar w:fldCharType="begin"/>
      </w:r>
      <w:r>
        <w:instrText xml:space="preserve"> REF _Ref248840576 \r \h  \* MERGEFORMAT </w:instrText>
      </w:r>
      <w:r>
        <w:fldChar w:fldCharType="separate"/>
      </w:r>
      <w:r>
        <w:rPr>
          <w:rFonts w:ascii="Garamond" w:hAnsi="Garamond"/>
        </w:rPr>
        <w:t>1.2.1</w:t>
      </w:r>
      <w:r>
        <w:fldChar w:fldCharType="end"/>
      </w:r>
      <w:r>
        <w:rPr>
          <w:rFonts w:ascii="Garamond" w:hAnsi="Garamond"/>
        </w:rPr>
        <w:t xml:space="preserve">) or a “Subsidiary” (as defined in clause </w:t>
      </w:r>
      <w:r>
        <w:fldChar w:fldCharType="begin"/>
      </w:r>
      <w:r>
        <w:instrText xml:space="preserve"> REF _Ref248840576 \r \h  \* MERGEFORMAT </w:instrText>
      </w:r>
      <w:r>
        <w:fldChar w:fldCharType="separate"/>
      </w:r>
      <w:r>
        <w:rPr>
          <w:rFonts w:ascii="Garamond" w:hAnsi="Garamond"/>
        </w:rPr>
        <w:t>1.2.1</w:t>
      </w:r>
      <w:r>
        <w:fldChar w:fldCharType="end"/>
      </w:r>
      <w:r>
        <w:rPr>
          <w:rFonts w:ascii="Garamond" w:hAnsi="Garamond"/>
        </w:rPr>
        <w:t>)in relation to any Company;</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Services</w:t>
      </w:r>
      <w:r>
        <w:rPr>
          <w:rFonts w:ascii="Garamond" w:hAnsi="Garamond"/>
        </w:rPr>
        <w:t xml:space="preserve"> means the services to be delivered by the Executive as set out in Annexure A;</w:t>
      </w:r>
    </w:p>
    <w:p>
      <w:pPr>
        <w:pStyle w:val="ListParagraph"/>
        <w:ind w:left="1224"/>
        <w:jc w:val="both"/>
        <w:rPr>
          <w:rFonts w:ascii="Garamond" w:hAnsi="Garamond"/>
        </w:rPr>
      </w:pPr>
    </w:p>
    <w:p>
      <w:pPr>
        <w:pStyle w:val="ListParagraph"/>
        <w:numPr>
          <w:ilvl w:val="2"/>
          <w:numId w:val="5"/>
        </w:numPr>
        <w:jc w:val="both"/>
        <w:rPr>
          <w:rFonts w:ascii="Garamond" w:hAnsi="Garamond"/>
        </w:rPr>
      </w:pPr>
      <w:r>
        <w:rPr>
          <w:rFonts w:ascii="Garamond" w:hAnsi="Garamond"/>
          <w:b/>
        </w:rPr>
        <w:t>Standard Notice</w:t>
      </w:r>
      <w:r>
        <w:rPr>
          <w:rFonts w:ascii="Garamond" w:hAnsi="Garamond"/>
        </w:rPr>
        <w:t>: means three (3) months;</w:t>
      </w:r>
    </w:p>
    <w:p>
      <w:pPr>
        <w:ind w:left="720"/>
        <w:jc w:val="both"/>
        <w:rPr>
          <w:rFonts w:ascii="Garamond" w:hAnsi="Garamond"/>
        </w:rPr>
      </w:pPr>
    </w:p>
    <w:p>
      <w:pPr>
        <w:pStyle w:val="ListParagraph"/>
        <w:numPr>
          <w:ilvl w:val="2"/>
          <w:numId w:val="5"/>
        </w:numPr>
        <w:jc w:val="both"/>
        <w:rPr>
          <w:rFonts w:ascii="Garamond" w:hAnsi="Garamond"/>
        </w:rPr>
      </w:pPr>
      <w:r>
        <w:rPr>
          <w:rFonts w:ascii="Garamond" w:hAnsi="Garamond"/>
          <w:b/>
        </w:rPr>
        <w:t>Taiwan</w:t>
      </w:r>
      <w:r>
        <w:rPr>
          <w:rFonts w:ascii="Garamond" w:hAnsi="Garamond"/>
        </w:rPr>
        <w:t>: means Republic of China Taiwan;</w:t>
      </w:r>
    </w:p>
    <w:p>
      <w:pPr>
        <w:pStyle w:val="ListParagraph"/>
        <w:ind w:left="1224"/>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Tax</w:t>
      </w:r>
      <w:r>
        <w:rPr>
          <w:rFonts w:ascii="Garamond" w:hAnsi="Garamond"/>
        </w:rPr>
        <w:t xml:space="preserve">: means all </w:t>
      </w:r>
      <w:r>
        <w:rPr>
          <w:rFonts w:ascii="Garamond" w:hAnsi="Garamond"/>
          <w:lang w:val="en-US"/>
        </w:rPr>
        <w:t xml:space="preserve">forms of tax (other than deferred tax), levy, duty, charge, rate, contribution, impost, withholding or other amount whenever created or imposed anywhere in the world, payable to or imposed by any Competent Authority; and all interest, penalties, fines, costs, charges and expenses incidental or relating to any amount falling within any of the aforesaid Tax or which arise as a result of the failure to pay any of said amounts on the due date or to comply with any obligation relating to the said amounts anywhere in the world under applicable Law or by Competent Authority; </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b/>
        </w:rPr>
        <w:t>Term</w:t>
      </w:r>
      <w:r>
        <w:rPr>
          <w:rFonts w:ascii="Garamond" w:hAnsi="Garamond"/>
        </w:rPr>
        <w:t xml:space="preserve">: means </w:t>
      </w:r>
      <w:r>
        <w:rPr>
          <w:rFonts w:ascii="Garamond" w:hAnsi="Garamond"/>
          <w:sz w:val="28"/>
          <w:szCs w:val="28"/>
          <w:highlight w:val="yellow"/>
        </w:rPr>
        <w:t>[INSERT PERIOD]</w:t>
      </w:r>
      <w:r>
        <w:rPr>
          <w:rFonts w:ascii="Garamond" w:hAnsi="Garamond"/>
          <w:sz w:val="28"/>
          <w:szCs w:val="28"/>
        </w:rPr>
        <w:t xml:space="preserve"> </w:t>
      </w:r>
      <w:r>
        <w:rPr>
          <w:rFonts w:ascii="Garamond" w:hAnsi="Garamond"/>
        </w:rPr>
        <w:t>from the Commencement Date; and,</w:t>
      </w:r>
    </w:p>
    <w:p>
      <w:pPr>
        <w:jc w:val="both"/>
        <w:rPr>
          <w:rFonts w:ascii="Garamond" w:hAnsi="Garamond"/>
          <w:b/>
        </w:rPr>
      </w:pPr>
    </w:p>
    <w:p>
      <w:pPr>
        <w:pStyle w:val="ListParagraph"/>
        <w:numPr>
          <w:ilvl w:val="2"/>
          <w:numId w:val="5"/>
        </w:numPr>
        <w:ind w:left="1440" w:hanging="720"/>
        <w:jc w:val="both"/>
        <w:rPr>
          <w:rFonts w:ascii="Garamond" w:hAnsi="Garamond"/>
        </w:rPr>
      </w:pPr>
      <w:r>
        <w:rPr>
          <w:rFonts w:ascii="Garamond" w:hAnsi="Garamond"/>
          <w:b/>
        </w:rPr>
        <w:t>Termination Date</w:t>
      </w:r>
      <w:r>
        <w:rPr>
          <w:rFonts w:ascii="Garamond" w:hAnsi="Garamond"/>
        </w:rPr>
        <w:t>: means the date on which this Agreement is terminated.</w:t>
      </w:r>
    </w:p>
    <w:p>
      <w:pPr>
        <w:jc w:val="both"/>
        <w:rPr>
          <w:rFonts w:ascii="Garamond" w:hAnsi="Garamond"/>
        </w:rPr>
      </w:pPr>
    </w:p>
    <w:p>
      <w:pPr>
        <w:pStyle w:val="ListParagraph"/>
        <w:numPr>
          <w:ilvl w:val="1"/>
          <w:numId w:val="5"/>
        </w:numPr>
        <w:jc w:val="both"/>
        <w:rPr>
          <w:rFonts w:ascii="Garamond" w:hAnsi="Garamond"/>
        </w:rPr>
      </w:pPr>
      <w:r>
        <w:rPr>
          <w:rFonts w:ascii="Garamond" w:hAnsi="Garamond"/>
        </w:rPr>
        <w:t>In this Agreement, unless the context requires otherwise or specifically defined, any reference to the following shall be interpreted as follows:</w:t>
      </w:r>
    </w:p>
    <w:p>
      <w:pPr>
        <w:jc w:val="both"/>
        <w:rPr>
          <w:rFonts w:ascii="Garamond" w:hAnsi="Garamond"/>
        </w:rPr>
      </w:pPr>
    </w:p>
    <w:p>
      <w:pPr>
        <w:pStyle w:val="ListParagraph"/>
        <w:numPr>
          <w:ilvl w:val="2"/>
          <w:numId w:val="5"/>
        </w:numPr>
        <w:ind w:left="1440" w:hanging="720"/>
        <w:jc w:val="both"/>
        <w:rPr>
          <w:rFonts w:ascii="Garamond" w:hAnsi="Garamond"/>
        </w:rPr>
      </w:pPr>
      <w:bookmarkStart w:id="1" w:name="_Ref248840576"/>
      <w:r>
        <w:rPr>
          <w:rFonts w:ascii="Garamond" w:hAnsi="Garamond"/>
        </w:rPr>
        <w:t xml:space="preserve">a Company is a </w:t>
      </w:r>
      <w:r>
        <w:rPr>
          <w:rFonts w:ascii="Garamond" w:hAnsi="Garamond"/>
          <w:b/>
        </w:rPr>
        <w:t>Subsidiary</w:t>
      </w:r>
      <w:r>
        <w:rPr>
          <w:rFonts w:ascii="Garamond" w:hAnsi="Garamond"/>
        </w:rPr>
        <w:t xml:space="preserve"> of another Company (its </w:t>
      </w:r>
      <w:r>
        <w:rPr>
          <w:rFonts w:ascii="Garamond" w:hAnsi="Garamond"/>
          <w:b/>
        </w:rPr>
        <w:t>Holding Company</w:t>
      </w:r>
      <w:r>
        <w:rPr>
          <w:rFonts w:ascii="Garamond" w:hAnsi="Garamond"/>
        </w:rPr>
        <w:t>), if that other Company holds a majority of voting rights in it; is a shareholder of it and/or has the right to appoint a majority of its board of directors; is a shareholder of it and/or controls alone, pursuant to an agreement with other shareholders, a majority of the voting rights in it; or if it is a subsidiary of a Company that is itself a subsidiary of that other Company;</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 xml:space="preserve">any English legal term for any action, remedy, method of judicial proceeding, legal document, legal status, official or legal concept or thing and/or Competent Authority shall in respect of any jurisdiction other than the jurisdiction for this Agreement set out in clause </w:t>
      </w:r>
      <w:r>
        <w:fldChar w:fldCharType="begin"/>
      </w:r>
      <w:r>
        <w:instrText xml:space="preserve"> REF _Ref249010679 \r \h  \* MERGEFORMAT </w:instrText>
      </w:r>
      <w:r>
        <w:fldChar w:fldCharType="separate"/>
      </w:r>
      <w:r>
        <w:rPr>
          <w:rFonts w:ascii="Garamond" w:hAnsi="Garamond"/>
        </w:rPr>
        <w:t>15.15</w:t>
      </w:r>
      <w:r>
        <w:fldChar w:fldCharType="end"/>
      </w:r>
      <w:r>
        <w:rPr>
          <w:rFonts w:ascii="Garamond" w:hAnsi="Garamond"/>
        </w:rPr>
        <w:t xml:space="preserve">, be deemed to include what most nearly approximates in that jurisdiction to the legal term in the jurisdiction for this Agreement set out in clause </w:t>
      </w:r>
      <w:r>
        <w:fldChar w:fldCharType="begin"/>
      </w:r>
      <w:r>
        <w:instrText xml:space="preserve"> REF _Ref249010679 \r \h  \* MERGEFORMAT </w:instrText>
      </w:r>
      <w:r>
        <w:fldChar w:fldCharType="separate"/>
      </w:r>
      <w:r>
        <w:rPr>
          <w:rFonts w:ascii="Garamond" w:hAnsi="Garamond"/>
        </w:rPr>
        <w:t>15.15</w:t>
      </w:r>
      <w:r>
        <w:fldChar w:fldCharType="end"/>
      </w:r>
      <w:r>
        <w:rPr>
          <w:rFonts w:ascii="Garamond" w:hAnsi="Garamond"/>
        </w:rPr>
        <w:t>;</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another grammatical form of a defined word or expression has a corresponding meaning;</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lastRenderedPageBreak/>
        <w:t>a statute, enactment, or statutory provision includes a reference to the statute, enactment, or statutory provision as modified or re-enacted or both from time to time, and to any subordinate legislation made under it;</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clauses, Annexures and/or Parties are clauses of and Annexures and/or Parties to this Agreement, respectively;</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the Annexures form part of this Agreement. References to this Agreement include the Annexures and references to this Agreement or any other document are to that document as from time to time amended, restated, novated or replaced;</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a document is a reference to the document as from time to time supplemented or varied; a document expressed to be in the agreed form means a document in a form which has been agreed by the Parties on or before the execution of this Agreement and signed or initialled by them or on their behalf, for the purposes of identification;</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the singular includes the plural and vice versa and the masculine includes the feminine and the neuter genders and vice versa;</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 xml:space="preserve">a </w:t>
      </w:r>
      <w:r>
        <w:rPr>
          <w:rFonts w:ascii="Garamond" w:hAnsi="Garamond"/>
          <w:iCs/>
        </w:rPr>
        <w:t>person</w:t>
      </w:r>
      <w:r>
        <w:rPr>
          <w:rFonts w:ascii="Garamond" w:hAnsi="Garamond"/>
        </w:rPr>
        <w:t xml:space="preserve"> includes natural persons, firms, partnerships, companies, corporations, associations, organisations, governments, states, governmental or state agencies, foundations and trusts (in each case, whether or not having separate legal personality) their successors and permitted assigns;</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a reference to $, USD$, USD, or dollar shall mean the legal tender currency of the United States of America;</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a reference to month or year shall mean a calendar month or year respectively;</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if a day on or by which an obligation must be performed or an event must occur is not a Business Day, the obligation must be performed or the event must occur on or by the next Business Day;</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iCs/>
        </w:rPr>
        <w:t>writing</w:t>
      </w:r>
      <w:r>
        <w:rPr>
          <w:rFonts w:ascii="Garamond" w:hAnsi="Garamond"/>
        </w:rPr>
        <w:t xml:space="preserve"> includes fax transmission and electronic mail, but excludes SMS text messages and other similar means of communication;</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the contents page and headings used in this Agreement are inserted for convenience only and shall not affect the interpretation of this Agreement;</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 xml:space="preserve">in this Agreement, any phrase introduced by the words </w:t>
      </w:r>
      <w:r>
        <w:rPr>
          <w:rFonts w:ascii="Garamond" w:hAnsi="Garamond"/>
          <w:iCs/>
        </w:rPr>
        <w:t>include</w:t>
      </w:r>
      <w:r>
        <w:rPr>
          <w:rFonts w:ascii="Garamond" w:hAnsi="Garamond"/>
        </w:rPr>
        <w:t xml:space="preserve">, </w:t>
      </w:r>
      <w:r>
        <w:rPr>
          <w:rFonts w:ascii="Garamond" w:hAnsi="Garamond"/>
          <w:iCs/>
        </w:rPr>
        <w:t>including</w:t>
      </w:r>
      <w:r>
        <w:rPr>
          <w:rFonts w:ascii="Garamond" w:hAnsi="Garamond"/>
        </w:rPr>
        <w:t xml:space="preserve">, </w:t>
      </w:r>
      <w:r>
        <w:rPr>
          <w:rFonts w:ascii="Garamond" w:hAnsi="Garamond"/>
          <w:iCs/>
        </w:rPr>
        <w:t>includes</w:t>
      </w:r>
      <w:r>
        <w:rPr>
          <w:rFonts w:ascii="Garamond" w:hAnsi="Garamond"/>
        </w:rPr>
        <w:t xml:space="preserve"> and </w:t>
      </w:r>
      <w:r>
        <w:rPr>
          <w:rFonts w:ascii="Garamond" w:hAnsi="Garamond"/>
          <w:iCs/>
        </w:rPr>
        <w:t>such as</w:t>
      </w:r>
      <w:r>
        <w:rPr>
          <w:rFonts w:ascii="Garamond" w:hAnsi="Garamond"/>
        </w:rPr>
        <w:t xml:space="preserve"> are to be construed as illustrative and shall not limit the sense of the words preceding those words;</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a rule of construction does not apply to the disadvantage of a Party because the Party was responsible for the preparation of this Agreement or any part of it; and</w:t>
      </w:r>
    </w:p>
    <w:p>
      <w:pPr>
        <w:ind w:left="1440" w:hanging="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this Agreement is drafted in the English language. If this Agreement is translated into any language other than English, the English language version will remain the sole authentic text and shall prevail in case of conflict.</w:t>
      </w:r>
    </w:p>
    <w:p>
      <w:pPr>
        <w:jc w:val="both"/>
        <w:rPr>
          <w:rFonts w:ascii="Garamond" w:hAnsi="Garamond"/>
        </w:rPr>
      </w:pPr>
    </w:p>
    <w:p>
      <w:pPr>
        <w:pStyle w:val="ListParagraph"/>
        <w:numPr>
          <w:ilvl w:val="0"/>
          <w:numId w:val="5"/>
        </w:numPr>
        <w:jc w:val="both"/>
        <w:rPr>
          <w:rFonts w:ascii="Garamond" w:hAnsi="Garamond"/>
          <w:b/>
        </w:rPr>
      </w:pPr>
      <w:r>
        <w:rPr>
          <w:rFonts w:ascii="Garamond" w:hAnsi="Garamond"/>
          <w:b/>
        </w:rPr>
        <w:t>APPOINTMENT, SCOPE AND DUTIES</w:t>
      </w:r>
    </w:p>
    <w:p>
      <w:pPr>
        <w:pStyle w:val="ListParagraph"/>
        <w:ind w:left="360"/>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 xml:space="preserve">The Company hereby appoints the Executive as </w:t>
      </w:r>
      <w:r>
        <w:rPr>
          <w:rFonts w:ascii="Garamond" w:hAnsi="Garamond"/>
          <w:sz w:val="28"/>
          <w:szCs w:val="28"/>
          <w:highlight w:val="yellow"/>
        </w:rPr>
        <w:t>[INSERT TITLE OF ROLE]</w:t>
      </w:r>
      <w:r>
        <w:rPr>
          <w:rFonts w:ascii="Garamond" w:hAnsi="Garamond"/>
        </w:rPr>
        <w:t xml:space="preserve"> and the Executive hereby accepts such appointment, agreeing to serve in the designated position and to perform diligently and to the best of his abilities the duties usually appertaining to such position and to provide the Services to the Company as detailed in </w:t>
      </w:r>
      <w:r>
        <w:rPr>
          <w:rFonts w:ascii="Garamond" w:hAnsi="Garamond"/>
          <w:b/>
        </w:rPr>
        <w:t>Annexure A</w:t>
      </w:r>
      <w:r>
        <w:rPr>
          <w:rFonts w:ascii="Garamond" w:hAnsi="Garamond"/>
        </w:rPr>
        <w:t xml:space="preserve"> of this Agreement as well as, without additional remuneration, such additional or different powers, duties or services appropriate to his position which the Executive from time to time may be reasonably directed to perform by the Chief Executive Officer and/or the Board of the Company. </w:t>
      </w:r>
      <w:r>
        <w:rPr>
          <w:rFonts w:ascii="Garamond" w:hAnsi="Garamond"/>
          <w:lang w:val="en-US"/>
        </w:rPr>
        <w:t xml:space="preserve">The Executive shall at all times comply with and be subject to the </w:t>
      </w:r>
      <w:r>
        <w:rPr>
          <w:rFonts w:ascii="Garamond" w:hAnsi="Garamond"/>
          <w:lang w:val="en-GB"/>
        </w:rPr>
        <w:t>Company’s codes, rules, regulations, policies and procedures and any such code, practice, rules or regulations of any association or professional body to which the Company and/or the Executive belong from time to time and the rules, principles and regulations of any Competent Authority relevant to the Company or any Related Company</w:t>
      </w:r>
      <w:r>
        <w:rPr>
          <w:rFonts w:ascii="Garamond" w:hAnsi="Garamond"/>
          <w:lang w:val="en-US"/>
        </w:rPr>
        <w:t xml:space="preserve"> from time to time.</w:t>
      </w:r>
      <w:r>
        <w:rPr>
          <w:rFonts w:ascii="Garamond" w:hAnsi="Garamond"/>
        </w:rPr>
        <w:t xml:space="preserve"> </w:t>
      </w:r>
    </w:p>
    <w:p>
      <w:pPr>
        <w:pStyle w:val="ListParagraph"/>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Executive’s immediate supervisor shall be the Chief Executive Officer of the Company and the Executive shall take instructions exclusively from the Chief Executive Officer and/or the Board of the Company at all times. The Executive shall execute and deliver his duties and the Services with all due care, skill and ability and use his best endeavours to execute and deliver such duties and the Services in a professional timely manner and use his best endeavours to promote the interests of the Company and to devote all of its time, energy, interest and best efforts to the business and affairs of the Company keeping informed at all times the Chief Executive Officer and/or the Board of the Company with respect to, and as well as keeping records of, all affairs and his activities within the Company’s business, having the duty to promptly provide such information, records and/or assistance as may be requested from time to time by the Chief Executive Officer and/or the Board of the Company or their appointee.</w:t>
      </w:r>
    </w:p>
    <w:p>
      <w:pPr>
        <w:ind w:left="1134" w:hanging="567"/>
        <w:jc w:val="both"/>
        <w:rPr>
          <w:rFonts w:ascii="Garamond" w:hAnsi="Garamond"/>
        </w:rPr>
      </w:pPr>
    </w:p>
    <w:p>
      <w:pPr>
        <w:pStyle w:val="ListParagraph"/>
        <w:numPr>
          <w:ilvl w:val="1"/>
          <w:numId w:val="5"/>
        </w:numPr>
        <w:ind w:left="1134" w:hanging="567"/>
        <w:jc w:val="both"/>
        <w:rPr>
          <w:rFonts w:ascii="Garamond" w:hAnsi="Garamond"/>
          <w:b/>
          <w:highlight w:val="yellow"/>
        </w:rPr>
      </w:pPr>
      <w:r>
        <w:rPr>
          <w:rFonts w:ascii="Garamond" w:hAnsi="Garamond"/>
          <w:lang w:val="en-US"/>
        </w:rPr>
        <w:t xml:space="preserve">The Executive may not engage, directly or indirectly, in any other business, investment, or activity that interferes with the Executive's performance of his duties and Services under this Agreement, is contrary to the interests of Company, or requires any significant portion of the Executive's time. </w:t>
      </w:r>
      <w:r>
        <w:rPr>
          <w:rFonts w:ascii="Garamond" w:hAnsi="Garamond"/>
          <w:highlight w:val="yellow"/>
          <w:lang w:val="en-US"/>
        </w:rPr>
        <w:t>[The foregoing notwithstanding, the Parties recognize and agree that the Executive may engage in passive personal investments and further agree that with the prior written consent of the Board of the Company (not to be unreasonably withheld) may engage in other business activities which do not conflict with the business, affairs and/or policies of the Company or interfere with the Executive's performance of his duties and Services under this Agreement.]</w:t>
      </w:r>
      <w:r>
        <w:rPr>
          <w:rFonts w:ascii="Garamond" w:hAnsi="Garamond"/>
          <w:b/>
          <w:highlight w:val="yellow"/>
          <w:lang w:val="en-US"/>
        </w:rPr>
        <w:t>[DMS: Client to consider whether it wishes to retain this wording]</w:t>
      </w:r>
    </w:p>
    <w:p>
      <w:pPr>
        <w:pStyle w:val="ListParagraph"/>
        <w:ind w:left="1134" w:hanging="567"/>
        <w:rPr>
          <w:rFonts w:ascii="Garamond" w:hAnsi="Garamond"/>
        </w:rPr>
      </w:pPr>
    </w:p>
    <w:p>
      <w:pPr>
        <w:pStyle w:val="ListParagraph"/>
        <w:numPr>
          <w:ilvl w:val="1"/>
          <w:numId w:val="5"/>
        </w:numPr>
        <w:ind w:left="1134" w:hanging="567"/>
        <w:jc w:val="both"/>
        <w:rPr>
          <w:rFonts w:ascii="Garamond" w:hAnsi="Garamond"/>
        </w:rPr>
      </w:pPr>
      <w:r>
        <w:rPr>
          <w:rFonts w:ascii="Garamond" w:hAnsi="Garamond"/>
          <w:lang w:val="en-US"/>
        </w:rPr>
        <w:t>The Executive acknowledges and agrees that he owes a fiduciary duty of loyalty, fidelity and allegiance to act at all times in the best interests of the Company and to do no act which would intentionally injure the Company's business, its interests, or its reputation.  It is agreed that any direct or indirect interest in connection with, or benefit from any outside activities, particularly commercial activities, which interest might in any way adversely affect the Company, or any of its Related Companies, involves a possible conflict of interest.  In keeping with Executive's fiduciary duties to the Company, the Executive agrees that he shall not knowingly become involved in a conflict of interest with the Company, or its Related Companies, or upon discovery thereof, allow such a conflict to continue.  Moreover, the Executive agrees that the Executive shall disclose to the Company's Board any facts which might involve a possible conflict of interest</w:t>
      </w:r>
      <w:r>
        <w:rPr>
          <w:rFonts w:ascii="Garamond" w:hAnsi="Garamond"/>
        </w:rPr>
        <w:t xml:space="preserve">. </w:t>
      </w:r>
    </w:p>
    <w:p>
      <w:pPr>
        <w:rPr>
          <w:rFonts w:ascii="Garamond" w:hAnsi="Garamond"/>
        </w:rPr>
      </w:pPr>
    </w:p>
    <w:p>
      <w:pPr>
        <w:pStyle w:val="ListParagraph"/>
        <w:numPr>
          <w:ilvl w:val="1"/>
          <w:numId w:val="5"/>
        </w:numPr>
        <w:ind w:left="1134" w:hanging="567"/>
        <w:jc w:val="both"/>
        <w:rPr>
          <w:rFonts w:ascii="Garamond" w:hAnsi="Garamond"/>
        </w:rPr>
      </w:pPr>
      <w:r>
        <w:rPr>
          <w:rFonts w:ascii="Garamond" w:hAnsi="Garamond"/>
        </w:rPr>
        <w:t>Unless he has been specifically authorised to do so by the Company in writing, the Executive shall not:</w:t>
      </w:r>
    </w:p>
    <w:p>
      <w:pPr>
        <w:jc w:val="both"/>
        <w:rPr>
          <w:rFonts w:ascii="Garamond" w:hAnsi="Garamond"/>
        </w:rPr>
      </w:pPr>
    </w:p>
    <w:p>
      <w:pPr>
        <w:pStyle w:val="ListParagraph"/>
        <w:numPr>
          <w:ilvl w:val="2"/>
          <w:numId w:val="5"/>
        </w:numPr>
        <w:tabs>
          <w:tab w:val="left" w:pos="1985"/>
        </w:tabs>
        <w:ind w:left="1985" w:hanging="851"/>
        <w:jc w:val="both"/>
        <w:rPr>
          <w:rFonts w:ascii="Garamond" w:hAnsi="Garamond"/>
        </w:rPr>
      </w:pPr>
      <w:r>
        <w:rPr>
          <w:rFonts w:ascii="Garamond" w:hAnsi="Garamond"/>
        </w:rPr>
        <w:t>have any authority to incur any expenditure in the name of or for the account of the Company; or</w:t>
      </w:r>
    </w:p>
    <w:p>
      <w:pPr>
        <w:pStyle w:val="ListParagraph"/>
        <w:tabs>
          <w:tab w:val="left" w:pos="1985"/>
        </w:tabs>
        <w:ind w:left="1985"/>
        <w:jc w:val="both"/>
        <w:rPr>
          <w:rFonts w:ascii="Garamond" w:hAnsi="Garamond"/>
        </w:rPr>
      </w:pPr>
    </w:p>
    <w:p>
      <w:pPr>
        <w:pStyle w:val="ListParagraph"/>
        <w:numPr>
          <w:ilvl w:val="2"/>
          <w:numId w:val="5"/>
        </w:numPr>
        <w:tabs>
          <w:tab w:val="left" w:pos="1985"/>
        </w:tabs>
        <w:ind w:left="1985" w:hanging="851"/>
        <w:jc w:val="both"/>
        <w:rPr>
          <w:rFonts w:ascii="Garamond" w:hAnsi="Garamond"/>
        </w:rPr>
      </w:pPr>
      <w:r>
        <w:rPr>
          <w:rFonts w:ascii="Garamond" w:hAnsi="Garamond"/>
        </w:rPr>
        <w:t>hold himself out as having authority to bind the Company.</w:t>
      </w:r>
    </w:p>
    <w:p>
      <w:pPr>
        <w:tabs>
          <w:tab w:val="left" w:pos="1985"/>
        </w:tabs>
        <w:jc w:val="both"/>
        <w:rPr>
          <w:rFonts w:ascii="Garamond" w:hAnsi="Garamond"/>
        </w:rPr>
      </w:pPr>
    </w:p>
    <w:p>
      <w:pPr>
        <w:pStyle w:val="ListParagraph"/>
        <w:numPr>
          <w:ilvl w:val="1"/>
          <w:numId w:val="5"/>
        </w:numPr>
        <w:tabs>
          <w:tab w:val="left" w:pos="1985"/>
        </w:tabs>
        <w:jc w:val="both"/>
        <w:rPr>
          <w:rFonts w:ascii="Garamond" w:hAnsi="Garamond"/>
        </w:rPr>
      </w:pPr>
      <w:r>
        <w:rPr>
          <w:rFonts w:ascii="Garamond" w:hAnsi="Garamond"/>
        </w:rPr>
        <w:t>The Company shall at its sole discretion provide to the Executive such access to the Company’s information, records and other material as the Executive may require on a need to know basis to discharge its duties and the Services.</w:t>
      </w:r>
    </w:p>
    <w:p>
      <w:pPr>
        <w:pStyle w:val="ListParagraph"/>
        <w:tabs>
          <w:tab w:val="left" w:pos="1985"/>
        </w:tabs>
        <w:ind w:left="792"/>
        <w:jc w:val="both"/>
        <w:rPr>
          <w:rFonts w:ascii="Garamond" w:hAnsi="Garamond"/>
        </w:rPr>
      </w:pPr>
    </w:p>
    <w:p>
      <w:pPr>
        <w:pStyle w:val="ListParagraph"/>
        <w:numPr>
          <w:ilvl w:val="1"/>
          <w:numId w:val="5"/>
        </w:numPr>
        <w:tabs>
          <w:tab w:val="left" w:pos="1985"/>
        </w:tabs>
        <w:jc w:val="both"/>
        <w:rPr>
          <w:rFonts w:ascii="Garamond" w:hAnsi="Garamond"/>
        </w:rPr>
      </w:pPr>
      <w:r>
        <w:rPr>
          <w:rFonts w:ascii="Garamond" w:hAnsi="Garamond"/>
        </w:rPr>
        <w:t xml:space="preserve">The Executive shall perform and discharge his duties and the Services at the Company’s headquarters in Hong Kong or at the Company’s regional office in Taipei, Taiwan and other locations as may be necessary from time to time for the performance of his duties and the Services; with major business direction and policy decisions to be taken at the Company’s headquarters. The Parties acknowledge that the Executive resides and shall continue to reside in </w:t>
      </w:r>
      <w:r>
        <w:rPr>
          <w:rFonts w:ascii="Garamond" w:hAnsi="Garamond"/>
          <w:sz w:val="28"/>
          <w:szCs w:val="28"/>
          <w:highlight w:val="yellow"/>
        </w:rPr>
        <w:t>[INSERT LOCATION OF RESIDENCE OF THE EXECUTIVE]</w:t>
      </w:r>
      <w:r>
        <w:rPr>
          <w:rFonts w:ascii="Garamond" w:hAnsi="Garamond"/>
        </w:rPr>
        <w:t>. The Executive may be required to travel from time to time.</w:t>
      </w:r>
    </w:p>
    <w:p>
      <w:pPr>
        <w:tabs>
          <w:tab w:val="left" w:pos="1985"/>
        </w:tabs>
        <w:jc w:val="both"/>
        <w:rPr>
          <w:rFonts w:ascii="Garamond" w:hAnsi="Garamond"/>
        </w:rPr>
      </w:pPr>
    </w:p>
    <w:p>
      <w:pPr>
        <w:pStyle w:val="ListParagraph"/>
        <w:numPr>
          <w:ilvl w:val="1"/>
          <w:numId w:val="5"/>
        </w:numPr>
        <w:tabs>
          <w:tab w:val="left" w:pos="1985"/>
        </w:tabs>
        <w:jc w:val="both"/>
        <w:rPr>
          <w:rFonts w:ascii="Garamond" w:hAnsi="Garamond"/>
        </w:rPr>
      </w:pPr>
      <w:r>
        <w:rPr>
          <w:rFonts w:ascii="Garamond" w:hAnsi="Garamond"/>
          <w:highlight w:val="yellow"/>
        </w:rPr>
        <w:t>[Although the Executive is not held to a particular work schedule due to the nature of the position and its duties,]</w:t>
      </w:r>
      <w:r>
        <w:rPr>
          <w:rFonts w:ascii="Garamond" w:hAnsi="Garamond"/>
        </w:rPr>
        <w:t xml:space="preserve"> the Services to be discharged and the seniority of the Executive, duties and the Services may be discharged at any time and any day; nothwithstanding the aforesaid the Executive will try to regularly maintain and discharge his duties and the Services during Business Hours during Business Days at the Company’s offices and such additional hours (without further remuneration) as are necessary for the proper discharge of the duties and the Services. </w:t>
      </w:r>
      <w:r>
        <w:rPr>
          <w:rFonts w:ascii="Garamond" w:hAnsi="Garamond"/>
          <w:b/>
          <w:highlight w:val="yellow"/>
        </w:rPr>
        <w:t>[DMS: client to consider whether part highlighted in yellow fill in this clause is applicable for all Executives]</w:t>
      </w:r>
    </w:p>
    <w:p>
      <w:pPr>
        <w:jc w:val="both"/>
        <w:rPr>
          <w:rFonts w:ascii="Garamond" w:hAnsi="Garamond"/>
          <w:b/>
        </w:rPr>
      </w:pPr>
    </w:p>
    <w:p>
      <w:pPr>
        <w:pStyle w:val="ListParagraph"/>
        <w:numPr>
          <w:ilvl w:val="0"/>
          <w:numId w:val="5"/>
        </w:numPr>
        <w:jc w:val="both"/>
        <w:rPr>
          <w:rFonts w:ascii="Garamond" w:hAnsi="Garamond"/>
          <w:b/>
        </w:rPr>
      </w:pPr>
      <w:r>
        <w:rPr>
          <w:rFonts w:ascii="Garamond" w:hAnsi="Garamond"/>
          <w:b/>
        </w:rPr>
        <w:t>REMUNERATION AND BENEFITS</w:t>
      </w:r>
    </w:p>
    <w:p>
      <w:pPr>
        <w:jc w:val="both"/>
        <w:rPr>
          <w:rFonts w:ascii="Garamond" w:hAnsi="Garamond"/>
          <w:b/>
        </w:rPr>
      </w:pPr>
    </w:p>
    <w:p>
      <w:pPr>
        <w:pStyle w:val="ListParagraph"/>
        <w:numPr>
          <w:ilvl w:val="1"/>
          <w:numId w:val="5"/>
        </w:numPr>
        <w:jc w:val="both"/>
        <w:rPr>
          <w:rFonts w:ascii="Garamond" w:hAnsi="Garamond"/>
          <w:b/>
        </w:rPr>
      </w:pPr>
      <w:r>
        <w:rPr>
          <w:rFonts w:ascii="Garamond" w:hAnsi="Garamond"/>
          <w:b/>
        </w:rPr>
        <w:t>Basic Remuneration</w:t>
      </w:r>
    </w:p>
    <w:p>
      <w:pPr>
        <w:pStyle w:val="ListParagraph"/>
        <w:ind w:left="792"/>
        <w:jc w:val="both"/>
        <w:rPr>
          <w:rFonts w:ascii="Garamond" w:hAnsi="Garamond"/>
        </w:rPr>
      </w:pPr>
    </w:p>
    <w:p>
      <w:pPr>
        <w:pStyle w:val="ListParagraph"/>
        <w:numPr>
          <w:ilvl w:val="2"/>
          <w:numId w:val="5"/>
        </w:numPr>
        <w:jc w:val="both"/>
        <w:rPr>
          <w:rFonts w:ascii="Garamond" w:hAnsi="Garamond"/>
        </w:rPr>
      </w:pPr>
      <w:r>
        <w:rPr>
          <w:rFonts w:ascii="Garamond" w:hAnsi="Garamond"/>
        </w:rPr>
        <w:lastRenderedPageBreak/>
        <w:t xml:space="preserve">In consideration for discharging the duties and the Services pursuant to this Agreement, the Executive shall receive the Basic Remuneration as specified and detailed in </w:t>
      </w:r>
      <w:r>
        <w:rPr>
          <w:rFonts w:ascii="Garamond" w:hAnsi="Garamond"/>
          <w:b/>
        </w:rPr>
        <w:t>Annexure B</w:t>
      </w:r>
      <w:r>
        <w:rPr>
          <w:rFonts w:ascii="Garamond" w:hAnsi="Garamond"/>
        </w:rPr>
        <w:t xml:space="preserve"> hereto.</w:t>
      </w:r>
    </w:p>
    <w:p>
      <w:pPr>
        <w:ind w:left="720"/>
        <w:jc w:val="both"/>
        <w:rPr>
          <w:rFonts w:ascii="Garamond" w:hAnsi="Garamond"/>
        </w:rPr>
      </w:pPr>
    </w:p>
    <w:p>
      <w:pPr>
        <w:pStyle w:val="ListParagraph"/>
        <w:numPr>
          <w:ilvl w:val="2"/>
          <w:numId w:val="5"/>
        </w:numPr>
        <w:jc w:val="both"/>
        <w:rPr>
          <w:rFonts w:ascii="Garamond" w:hAnsi="Garamond"/>
        </w:rPr>
      </w:pPr>
      <w:r>
        <w:rPr>
          <w:rFonts w:ascii="Garamond" w:hAnsi="Garamond"/>
        </w:rPr>
        <w:t xml:space="preserve">The Basic Remuneration </w:t>
      </w:r>
      <w:r>
        <w:rPr>
          <w:rFonts w:ascii="Garamond" w:hAnsi="Garamond"/>
          <w:lang w:val="en-GB"/>
        </w:rPr>
        <w:t>shall accrue day to day and be payable by monthly instalments in arrears on or about the last day of each calendar month. The Basic Remuneration shall be reviewed by the Company’s Board from time to time and there is no obligation on the Company to increase the Basic Remuneration pursuant to any such review or otherwise.</w:t>
      </w:r>
    </w:p>
    <w:p>
      <w:pPr>
        <w:ind w:left="360"/>
        <w:jc w:val="both"/>
        <w:rPr>
          <w:rFonts w:ascii="Garamond" w:hAnsi="Garamond"/>
        </w:rPr>
      </w:pPr>
    </w:p>
    <w:p>
      <w:pPr>
        <w:pStyle w:val="ListParagraph"/>
        <w:numPr>
          <w:ilvl w:val="1"/>
          <w:numId w:val="5"/>
        </w:numPr>
        <w:jc w:val="both"/>
        <w:rPr>
          <w:rFonts w:ascii="Garamond" w:hAnsi="Garamond"/>
          <w:b/>
        </w:rPr>
      </w:pPr>
      <w:r>
        <w:rPr>
          <w:rFonts w:ascii="Garamond" w:hAnsi="Garamond"/>
          <w:b/>
        </w:rPr>
        <w:t>Bonus</w:t>
      </w:r>
    </w:p>
    <w:p>
      <w:pPr>
        <w:ind w:left="360"/>
        <w:jc w:val="both"/>
        <w:rPr>
          <w:rFonts w:ascii="Garamond" w:hAnsi="Garamond"/>
        </w:rPr>
      </w:pPr>
    </w:p>
    <w:p>
      <w:pPr>
        <w:pStyle w:val="ListParagraph"/>
        <w:numPr>
          <w:ilvl w:val="2"/>
          <w:numId w:val="5"/>
        </w:numPr>
        <w:jc w:val="both"/>
        <w:rPr>
          <w:rFonts w:ascii="Garamond" w:hAnsi="Garamond"/>
        </w:rPr>
      </w:pPr>
      <w:r>
        <w:rPr>
          <w:rFonts w:ascii="Garamond" w:hAnsi="Garamond"/>
          <w:lang w:val="en-GB"/>
        </w:rPr>
        <w:t>The Company may, at the sole discretion of the Board of the Company,  decide whether to pay a bonus to the Executive of such amount as the Company may determine in respect of each complete financial year of the Company while the Term subsists. The Executive acknowledges that he has no contractual right to receive a bonus until it is declared in writing in respect of the financial year to which it relates and that he will not acquire such a right on the basis that during the Term he has received one or more bonus payments.</w:t>
      </w:r>
    </w:p>
    <w:p>
      <w:pPr>
        <w:ind w:left="720"/>
        <w:jc w:val="both"/>
        <w:rPr>
          <w:rFonts w:ascii="Garamond" w:hAnsi="Garamond"/>
        </w:rPr>
      </w:pPr>
    </w:p>
    <w:p>
      <w:pPr>
        <w:pStyle w:val="ListParagraph"/>
        <w:numPr>
          <w:ilvl w:val="2"/>
          <w:numId w:val="5"/>
        </w:numPr>
        <w:jc w:val="both"/>
        <w:rPr>
          <w:rFonts w:ascii="Garamond" w:hAnsi="Garamond"/>
        </w:rPr>
      </w:pPr>
      <w:r>
        <w:rPr>
          <w:rFonts w:ascii="Garamond" w:hAnsi="Garamond"/>
          <w:lang w:val="en-GB"/>
        </w:rPr>
        <w:t>The Executive shall not be entitled to receive a bonus if on the date that the bonus is declared he is no longer employed (for whatever reason, including but not limited to, termination of this Agreement due to breach of contract or otherwise) by the Company or any Related Company or is under notice of termination (whether such notice is given by the Executive or the Company) or on Garden Leave, or suspended pursuant to the terms of this Agreement.</w:t>
      </w:r>
    </w:p>
    <w:p>
      <w:pPr>
        <w:jc w:val="both"/>
        <w:rPr>
          <w:rFonts w:ascii="Garamond" w:hAnsi="Garamond"/>
        </w:rPr>
      </w:pPr>
    </w:p>
    <w:p>
      <w:pPr>
        <w:pStyle w:val="ListParagraph"/>
        <w:numPr>
          <w:ilvl w:val="1"/>
          <w:numId w:val="5"/>
        </w:numPr>
        <w:jc w:val="both"/>
        <w:rPr>
          <w:rFonts w:ascii="Garamond" w:hAnsi="Garamond"/>
          <w:b/>
        </w:rPr>
      </w:pPr>
      <w:r>
        <w:rPr>
          <w:rFonts w:ascii="Garamond" w:hAnsi="Garamond"/>
          <w:b/>
        </w:rPr>
        <w:t>Expenses</w:t>
      </w:r>
    </w:p>
    <w:p>
      <w:pPr>
        <w:pStyle w:val="ListParagraph"/>
        <w:ind w:left="792"/>
        <w:jc w:val="both"/>
        <w:rPr>
          <w:rFonts w:ascii="Garamond" w:hAnsi="Garamond"/>
        </w:rPr>
      </w:pPr>
    </w:p>
    <w:p>
      <w:pPr>
        <w:pStyle w:val="ListParagraph"/>
        <w:numPr>
          <w:ilvl w:val="2"/>
          <w:numId w:val="5"/>
        </w:numPr>
        <w:jc w:val="both"/>
        <w:rPr>
          <w:rFonts w:ascii="Garamond" w:hAnsi="Garamond"/>
        </w:rPr>
      </w:pPr>
      <w:r>
        <w:rPr>
          <w:rFonts w:ascii="Garamond" w:hAnsi="Garamond"/>
          <w:lang w:val="en-GB"/>
        </w:rPr>
        <w:t>The Company shall reimburse the Executive in respect of all expenses reasonably incurred by the Executive in the proper performance of the duties and the Services hereunder subject to the Executive providing such receipts or other evidence as the Company may require and subject to the Company’s rules and policies from time to time relating to expenses.</w:t>
      </w:r>
    </w:p>
    <w:p>
      <w:pPr>
        <w:jc w:val="both"/>
        <w:rPr>
          <w:rFonts w:ascii="Garamond" w:hAnsi="Garamond"/>
        </w:rPr>
      </w:pPr>
    </w:p>
    <w:p>
      <w:pPr>
        <w:pStyle w:val="ListParagraph"/>
        <w:numPr>
          <w:ilvl w:val="1"/>
          <w:numId w:val="5"/>
        </w:numPr>
        <w:jc w:val="both"/>
        <w:rPr>
          <w:rFonts w:ascii="Garamond" w:hAnsi="Garamond"/>
          <w:b/>
        </w:rPr>
      </w:pPr>
      <w:r>
        <w:rPr>
          <w:rFonts w:ascii="Garamond" w:hAnsi="Garamond"/>
          <w:b/>
        </w:rPr>
        <w:t>Options</w:t>
      </w:r>
    </w:p>
    <w:p>
      <w:pPr>
        <w:pStyle w:val="ListParagraph"/>
        <w:ind w:left="792"/>
        <w:jc w:val="both"/>
        <w:rPr>
          <w:rFonts w:ascii="Garamond" w:hAnsi="Garamond"/>
        </w:rPr>
      </w:pPr>
    </w:p>
    <w:p>
      <w:pPr>
        <w:pStyle w:val="ListParagraph"/>
        <w:numPr>
          <w:ilvl w:val="2"/>
          <w:numId w:val="5"/>
        </w:numPr>
        <w:jc w:val="both"/>
        <w:rPr>
          <w:rFonts w:ascii="Garamond" w:hAnsi="Garamond"/>
          <w:highlight w:val="yellow"/>
        </w:rPr>
      </w:pPr>
      <w:r>
        <w:rPr>
          <w:rFonts w:ascii="Garamond" w:hAnsi="Garamond"/>
          <w:highlight w:val="yellow"/>
        </w:rPr>
        <w:t xml:space="preserve">The Company shall grant to the Executive as part of the ‘StyleMe Stock Option Incentive Plan 2017’ up to the number of Class B Shares of the Company as specified and in the manner and subject to the terms and conditions set out in Annexure C to this Agreement. </w:t>
      </w:r>
      <w:r>
        <w:rPr>
          <w:rFonts w:ascii="Garamond" w:hAnsi="Garamond"/>
          <w:b/>
          <w:highlight w:val="yellow"/>
        </w:rPr>
        <w:t>[DMS: Client to confirm]</w:t>
      </w:r>
    </w:p>
    <w:p>
      <w:pPr>
        <w:jc w:val="both"/>
        <w:rPr>
          <w:rFonts w:ascii="Garamond" w:hAnsi="Garamond"/>
        </w:rPr>
      </w:pPr>
    </w:p>
    <w:p>
      <w:pPr>
        <w:pStyle w:val="ListParagraph"/>
        <w:numPr>
          <w:ilvl w:val="1"/>
          <w:numId w:val="5"/>
        </w:numPr>
        <w:jc w:val="both"/>
        <w:rPr>
          <w:rFonts w:ascii="Garamond" w:hAnsi="Garamond"/>
          <w:b/>
        </w:rPr>
      </w:pPr>
      <w:r>
        <w:rPr>
          <w:rFonts w:ascii="Garamond" w:hAnsi="Garamond"/>
          <w:b/>
        </w:rPr>
        <w:t>Investment</w:t>
      </w:r>
    </w:p>
    <w:p>
      <w:pPr>
        <w:ind w:left="360"/>
        <w:jc w:val="both"/>
        <w:rPr>
          <w:rFonts w:ascii="Garamond" w:hAnsi="Garamond"/>
        </w:rPr>
      </w:pPr>
    </w:p>
    <w:p>
      <w:pPr>
        <w:ind w:left="1260" w:hanging="540"/>
        <w:jc w:val="both"/>
        <w:rPr>
          <w:rFonts w:ascii="Garamond" w:hAnsi="Garamond"/>
          <w:highlight w:val="green"/>
        </w:rPr>
      </w:pPr>
      <w:r>
        <w:rPr>
          <w:rFonts w:ascii="Garamond" w:hAnsi="Garamond"/>
          <w:highlight w:val="yellow"/>
        </w:rPr>
        <w:t xml:space="preserve">3.5.1. The Executive will be allowed, within thirty (30) Business Days of the date of this Agreement, to subscribe for the number of Ordinary or Class A shares of the Company as specified and in the manner and subject to the </w:t>
      </w:r>
      <w:r>
        <w:rPr>
          <w:rFonts w:ascii="Garamond" w:hAnsi="Garamond"/>
          <w:highlight w:val="yellow"/>
        </w:rPr>
        <w:lastRenderedPageBreak/>
        <w:t>terms and conditions set out in Annexure C to this Agreement.</w:t>
      </w:r>
      <w:r>
        <w:rPr>
          <w:rFonts w:ascii="Garamond" w:hAnsi="Garamond"/>
          <w:b/>
          <w:highlight w:val="yellow"/>
        </w:rPr>
        <w:t xml:space="preserve"> [DMS: Client to confirm]</w:t>
      </w:r>
      <w:r>
        <w:rPr>
          <w:rFonts w:ascii="Garamond" w:hAnsi="Garamond"/>
          <w:highlight w:val="green"/>
        </w:rPr>
        <w:t xml:space="preserve"> </w:t>
      </w:r>
    </w:p>
    <w:p>
      <w:pPr>
        <w:jc w:val="both"/>
        <w:rPr>
          <w:rFonts w:ascii="Garamond" w:hAnsi="Garamond"/>
        </w:rPr>
      </w:pPr>
    </w:p>
    <w:p>
      <w:pPr>
        <w:pStyle w:val="ListParagraph"/>
        <w:numPr>
          <w:ilvl w:val="1"/>
          <w:numId w:val="5"/>
        </w:numPr>
        <w:jc w:val="both"/>
        <w:rPr>
          <w:rFonts w:ascii="Garamond" w:hAnsi="Garamond"/>
          <w:b/>
        </w:rPr>
      </w:pPr>
      <w:r>
        <w:rPr>
          <w:rFonts w:ascii="Garamond" w:hAnsi="Garamond"/>
          <w:b/>
        </w:rPr>
        <w:t>Insurance</w:t>
      </w:r>
    </w:p>
    <w:p>
      <w:pPr>
        <w:pStyle w:val="ListParagraph"/>
        <w:ind w:left="792"/>
        <w:jc w:val="both"/>
        <w:rPr>
          <w:rFonts w:ascii="Garamond" w:hAnsi="Garamond"/>
        </w:rPr>
      </w:pPr>
    </w:p>
    <w:p>
      <w:pPr>
        <w:pStyle w:val="ListParagraph"/>
        <w:numPr>
          <w:ilvl w:val="2"/>
          <w:numId w:val="5"/>
        </w:numPr>
        <w:jc w:val="both"/>
        <w:rPr>
          <w:rFonts w:ascii="Garamond" w:hAnsi="Garamond"/>
          <w:b/>
        </w:rPr>
      </w:pPr>
      <w:r>
        <w:rPr>
          <w:rFonts w:ascii="Garamond" w:hAnsi="Garamond"/>
          <w:b/>
        </w:rPr>
        <w:t>Medical</w:t>
      </w:r>
    </w:p>
    <w:p>
      <w:pPr>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lang w:val="en-GB"/>
        </w:rPr>
        <w:t>The Executive personally (including his spouse and children dependents), at the Company’s expense, may be eligible to participate in such medical expense insurance schemes as the Company shall from time to time maintain for the benefit of its executives subject to their terms and conditions from time to time in force and subject to the Executive meeting the requirements of the scheme and being deemed eligible by the relevant insurance provider.  The Company reserves the right to change or amend such schemes including the level of benefits.</w:t>
      </w:r>
    </w:p>
    <w:p>
      <w:pPr>
        <w:ind w:left="1080"/>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lang w:val="en-GB"/>
        </w:rPr>
        <w:t>The Company shall not be liable to provide any benefits or any compensation in lieu thereof or take any action to enforce the provision of such benefits in circumstances where the scheme provider refuses for any reason whatsoever, to provide any benefits to the Executive.</w:t>
      </w:r>
    </w:p>
    <w:p>
      <w:pPr>
        <w:jc w:val="both"/>
        <w:rPr>
          <w:rFonts w:ascii="Garamond" w:hAnsi="Garamond"/>
        </w:rPr>
      </w:pPr>
    </w:p>
    <w:p>
      <w:pPr>
        <w:pStyle w:val="ListParagraph"/>
        <w:numPr>
          <w:ilvl w:val="2"/>
          <w:numId w:val="5"/>
        </w:numPr>
        <w:jc w:val="both"/>
        <w:rPr>
          <w:rFonts w:ascii="Garamond" w:hAnsi="Garamond"/>
          <w:b/>
        </w:rPr>
      </w:pPr>
      <w:r>
        <w:rPr>
          <w:rFonts w:ascii="Garamond" w:hAnsi="Garamond"/>
          <w:b/>
        </w:rPr>
        <w:t>Travel</w:t>
      </w:r>
    </w:p>
    <w:p>
      <w:pPr>
        <w:ind w:left="720"/>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lang w:val="en-GB"/>
        </w:rPr>
        <w:t>The Executive, at the Company’s expense, may be eligible to participate in such business travel insurance schemes as the Company shall from time to time maintain for the benefit of its executives subject to their terms and conditions from time to time in force and subject to the Executive meeting the requirements of the scheme and being deemed eligible by the relevant insurance provider.  The Company reserves the right to withdraw or amend such schemes including the level of benefits, and reserves the right to terminate the Executive’s participation in such schemes or provide such schemes at any time for any reason.</w:t>
      </w:r>
    </w:p>
    <w:p>
      <w:pPr>
        <w:ind w:left="2160" w:hanging="1080"/>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lang w:val="en-GB"/>
        </w:rPr>
        <w:t>The Company shall not be liable to provide any benefits or any compensation in lieu thereof or take any action to enforce the provision of such benefits in circumstances where the scheme provider refuses for any reason whatsoever to provide any benefits to the Executive. Should the Company decide to terminate the Executive’s participation in such schemes or to provide such scheme at any time for any reason, the Company shall not have any liability to the Executive at any time for any additional compensation or on-going obligation.</w:t>
      </w:r>
    </w:p>
    <w:p>
      <w:pPr>
        <w:ind w:left="720"/>
        <w:jc w:val="both"/>
        <w:rPr>
          <w:rFonts w:ascii="Garamond" w:hAnsi="Garamond"/>
        </w:rPr>
      </w:pPr>
    </w:p>
    <w:p>
      <w:pPr>
        <w:pStyle w:val="ListParagraph"/>
        <w:numPr>
          <w:ilvl w:val="1"/>
          <w:numId w:val="5"/>
        </w:numPr>
        <w:jc w:val="both"/>
        <w:rPr>
          <w:rFonts w:ascii="Garamond" w:hAnsi="Garamond"/>
          <w:b/>
        </w:rPr>
      </w:pPr>
      <w:r>
        <w:rPr>
          <w:rFonts w:ascii="Garamond" w:hAnsi="Garamond"/>
          <w:b/>
        </w:rPr>
        <w:t>Leave and Incapacity</w:t>
      </w:r>
    </w:p>
    <w:p>
      <w:pPr>
        <w:ind w:left="720"/>
        <w:jc w:val="both"/>
        <w:rPr>
          <w:rFonts w:ascii="Garamond" w:hAnsi="Garamond"/>
        </w:rPr>
      </w:pPr>
    </w:p>
    <w:p>
      <w:pPr>
        <w:pStyle w:val="ListParagraph"/>
        <w:numPr>
          <w:ilvl w:val="2"/>
          <w:numId w:val="5"/>
        </w:numPr>
        <w:jc w:val="both"/>
        <w:rPr>
          <w:rFonts w:ascii="Garamond" w:hAnsi="Garamond"/>
          <w:b/>
        </w:rPr>
      </w:pPr>
      <w:r>
        <w:rPr>
          <w:rFonts w:ascii="Garamond" w:hAnsi="Garamond"/>
          <w:b/>
        </w:rPr>
        <w:t xml:space="preserve"> Leave</w:t>
      </w:r>
    </w:p>
    <w:p>
      <w:pPr>
        <w:ind w:left="720"/>
        <w:jc w:val="both"/>
        <w:rPr>
          <w:rFonts w:ascii="Garamond" w:hAnsi="Garamond"/>
        </w:rPr>
      </w:pPr>
    </w:p>
    <w:p>
      <w:pPr>
        <w:pStyle w:val="ListParagraph"/>
        <w:numPr>
          <w:ilvl w:val="3"/>
          <w:numId w:val="5"/>
        </w:numPr>
        <w:ind w:left="2160" w:hanging="1080"/>
        <w:jc w:val="both"/>
        <w:rPr>
          <w:rFonts w:ascii="Garamond" w:hAnsi="Garamond"/>
        </w:rPr>
      </w:pPr>
      <w:bookmarkStart w:id="2" w:name="_Ref30505681"/>
      <w:bookmarkStart w:id="3" w:name="_Ref252888752"/>
      <w:r>
        <w:rPr>
          <w:rFonts w:ascii="Garamond" w:hAnsi="Garamond"/>
          <w:lang w:val="en-GB"/>
        </w:rPr>
        <w:lastRenderedPageBreak/>
        <w:t xml:space="preserve">The Executive shall be entitled to receive his normal remuneration for all Public Holidays and for the additional number of Business Days’ paid leave in each calendar year as set out in </w:t>
      </w:r>
      <w:r>
        <w:rPr>
          <w:rFonts w:ascii="Garamond" w:hAnsi="Garamond"/>
          <w:b/>
        </w:rPr>
        <w:t>Annexure B</w:t>
      </w:r>
      <w:r>
        <w:rPr>
          <w:rFonts w:ascii="Garamond" w:hAnsi="Garamond"/>
          <w:lang w:val="en-GB"/>
        </w:rPr>
        <w:t xml:space="preserve"> to this Agreement. The Executive may only take his leave at such times as are previously agreed in writing by the </w:t>
      </w:r>
      <w:bookmarkEnd w:id="2"/>
      <w:r>
        <w:rPr>
          <w:rFonts w:ascii="Garamond" w:hAnsi="Garamond"/>
          <w:lang w:val="en-GB"/>
        </w:rPr>
        <w:t>Company.</w:t>
      </w:r>
      <w:bookmarkEnd w:id="3"/>
    </w:p>
    <w:p>
      <w:pPr>
        <w:ind w:left="1080"/>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rPr>
        <w:t>The details of the accrual, application, usage, expiration and other terms with respect to the leave are as detailed by the respective Company rules, policies and regulations.</w:t>
      </w:r>
    </w:p>
    <w:p>
      <w:pPr>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lang w:val="en-GB"/>
        </w:rPr>
        <w:t>If, on the termination of this Agreement, the Executive has exceeded his accrued leave entitlement, the excess may be deducted from any sums due to the Executive and the Executive hereby authorises the Company to make such deduction.  If the Executive has any unused leave entitlement, the Company may either require the Executive to take such unused leave during any notice period (whether or not the Executive is on Garden Leave) or make payment in lieu thereof.  Such payment in lieu shall be pro rata for each untaken day of the Executive’s entitlement under this clause 3.7.1 for the calendar year in which termination takes place and any untaken days carried forward from the preceding calendar year (if applicable).</w:t>
      </w:r>
      <w:r>
        <w:rPr>
          <w:rFonts w:ascii="Garamond" w:hAnsi="Garamond"/>
        </w:rPr>
        <w:t xml:space="preserve"> </w:t>
      </w:r>
    </w:p>
    <w:p>
      <w:pPr>
        <w:ind w:left="720"/>
        <w:jc w:val="both"/>
        <w:rPr>
          <w:rFonts w:ascii="Garamond" w:hAnsi="Garamond"/>
        </w:rPr>
      </w:pPr>
    </w:p>
    <w:p>
      <w:pPr>
        <w:pStyle w:val="ListParagraph"/>
        <w:numPr>
          <w:ilvl w:val="2"/>
          <w:numId w:val="5"/>
        </w:numPr>
        <w:jc w:val="both"/>
        <w:rPr>
          <w:rFonts w:ascii="Garamond" w:hAnsi="Garamond"/>
          <w:b/>
        </w:rPr>
      </w:pPr>
      <w:r>
        <w:rPr>
          <w:rFonts w:ascii="Garamond" w:hAnsi="Garamond"/>
          <w:b/>
        </w:rPr>
        <w:t>Incapacity</w:t>
      </w:r>
    </w:p>
    <w:p>
      <w:pPr>
        <w:ind w:left="720"/>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lang w:val="en-GB"/>
        </w:rPr>
        <w:t>The Company shall continue to pay the Executive’s Basic Salary during any period of absence on medical grounds (if such medical grounds are certified by a medical practitioner (as defined under the Employment Act)) up to a maximum of:</w:t>
      </w:r>
    </w:p>
    <w:p>
      <w:pPr>
        <w:ind w:left="1080"/>
        <w:jc w:val="both"/>
        <w:rPr>
          <w:rFonts w:ascii="Garamond" w:hAnsi="Garamond"/>
        </w:rPr>
      </w:pPr>
    </w:p>
    <w:p>
      <w:pPr>
        <w:pStyle w:val="ListParagraph"/>
        <w:numPr>
          <w:ilvl w:val="4"/>
          <w:numId w:val="5"/>
        </w:numPr>
        <w:ind w:left="2880" w:hanging="1440"/>
        <w:jc w:val="both"/>
        <w:rPr>
          <w:rFonts w:ascii="Garamond" w:hAnsi="Garamond"/>
        </w:rPr>
      </w:pPr>
      <w:r>
        <w:rPr>
          <w:rFonts w:ascii="Garamond" w:hAnsi="Garamond"/>
          <w:lang w:val="en-GB"/>
        </w:rPr>
        <w:t>if no hospitalisation is required, 14 days in each calendar year; or</w:t>
      </w:r>
    </w:p>
    <w:p>
      <w:pPr>
        <w:pStyle w:val="ListParagraph"/>
        <w:ind w:left="2232"/>
        <w:jc w:val="both"/>
        <w:rPr>
          <w:rFonts w:ascii="Garamond" w:hAnsi="Garamond"/>
        </w:rPr>
      </w:pPr>
    </w:p>
    <w:p>
      <w:pPr>
        <w:pStyle w:val="ListParagraph"/>
        <w:numPr>
          <w:ilvl w:val="4"/>
          <w:numId w:val="5"/>
        </w:numPr>
        <w:jc w:val="both"/>
        <w:rPr>
          <w:rFonts w:ascii="Garamond" w:hAnsi="Garamond"/>
        </w:rPr>
      </w:pPr>
      <w:r>
        <w:rPr>
          <w:rFonts w:ascii="Garamond" w:hAnsi="Garamond"/>
          <w:lang w:val="en-GB"/>
        </w:rPr>
        <w:t>if hospitalisation is required, 60 days in each calendar year.</w:t>
      </w:r>
    </w:p>
    <w:p>
      <w:pPr>
        <w:jc w:val="both"/>
        <w:rPr>
          <w:rFonts w:ascii="Garamond" w:hAnsi="Garamond"/>
        </w:rPr>
      </w:pPr>
    </w:p>
    <w:p>
      <w:pPr>
        <w:ind w:left="1440"/>
        <w:jc w:val="both"/>
        <w:rPr>
          <w:rFonts w:ascii="Garamond" w:hAnsi="Garamond"/>
        </w:rPr>
      </w:pPr>
      <w:r>
        <w:rPr>
          <w:rFonts w:ascii="Garamond" w:hAnsi="Garamond"/>
          <w:lang w:val="en-GB"/>
        </w:rPr>
        <w:t>Such sick leave entitlements shall be pro-rated for any part of a whole calendar year served by the Executive. Thereafter the Executive will only be entitled to such salary and benefits, if any, as the Company shall in its absolute discretion from time to time allow.</w:t>
      </w:r>
    </w:p>
    <w:p>
      <w:pPr>
        <w:jc w:val="both"/>
        <w:rPr>
          <w:rFonts w:ascii="Garamond" w:hAnsi="Garamond"/>
        </w:rPr>
      </w:pPr>
    </w:p>
    <w:p>
      <w:pPr>
        <w:pStyle w:val="ListParagraph"/>
        <w:numPr>
          <w:ilvl w:val="1"/>
          <w:numId w:val="5"/>
        </w:numPr>
        <w:jc w:val="both"/>
        <w:rPr>
          <w:rFonts w:ascii="Garamond" w:hAnsi="Garamond"/>
          <w:b/>
        </w:rPr>
      </w:pPr>
      <w:r>
        <w:rPr>
          <w:rFonts w:ascii="Garamond" w:hAnsi="Garamond"/>
        </w:rPr>
        <w:t>[</w:t>
      </w:r>
      <w:r>
        <w:rPr>
          <w:rFonts w:ascii="Garamond" w:hAnsi="Garamond"/>
          <w:b/>
        </w:rPr>
        <w:t>Academic Support</w:t>
      </w:r>
    </w:p>
    <w:p>
      <w:pPr>
        <w:ind w:left="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 xml:space="preserve">The Company acknowledges that the Executive resides with his immediate family in </w:t>
      </w:r>
      <w:r>
        <w:rPr>
          <w:rFonts w:ascii="Garamond" w:hAnsi="Garamond"/>
          <w:sz w:val="28"/>
          <w:szCs w:val="28"/>
          <w:highlight w:val="yellow"/>
        </w:rPr>
        <w:t>[INSERT LOCATION OF RESIDENCE OF THE EXECUTIVE]</w:t>
      </w:r>
      <w:r>
        <w:rPr>
          <w:rFonts w:ascii="Garamond" w:hAnsi="Garamond"/>
        </w:rPr>
        <w:t xml:space="preserve">. </w:t>
      </w:r>
      <w:r>
        <w:rPr>
          <w:rFonts w:ascii="Garamond" w:hAnsi="Garamond"/>
          <w:highlight w:val="yellow"/>
        </w:rPr>
        <w:t xml:space="preserve">[The Company and the Executive agree that exclusively during the Term of this Agreement, only in respect of the Executive’s children aged eighteen (18) years old or younger, and only with respect to primary and/or secondary school, the Company shall pay for fifty per cent (50%) of the annual tuition fees up to an amount of </w:t>
      </w:r>
      <w:r>
        <w:rPr>
          <w:rFonts w:ascii="Garamond" w:hAnsi="Garamond"/>
          <w:highlight w:val="yellow"/>
        </w:rPr>
        <w:lastRenderedPageBreak/>
        <w:t>USD$ *.][</w:t>
      </w:r>
      <w:r>
        <w:rPr>
          <w:rFonts w:ascii="Garamond" w:hAnsi="Garamond"/>
          <w:b/>
          <w:highlight w:val="yellow"/>
        </w:rPr>
        <w:t>DMS: Client to consider whether it would like to retain this provision</w:t>
      </w:r>
      <w:r>
        <w:rPr>
          <w:rFonts w:ascii="Garamond" w:hAnsi="Garamond"/>
          <w:highlight w:val="yellow"/>
        </w:rPr>
        <w:t>]</w:t>
      </w:r>
      <w:r>
        <w:rPr>
          <w:rFonts w:ascii="Garamond" w:hAnsi="Garamond"/>
        </w:rPr>
        <w:t>.</w:t>
      </w:r>
    </w:p>
    <w:p>
      <w:pPr>
        <w:jc w:val="both"/>
        <w:rPr>
          <w:rFonts w:ascii="Garamond" w:hAnsi="Garamond"/>
        </w:rPr>
      </w:pPr>
    </w:p>
    <w:p>
      <w:pPr>
        <w:pStyle w:val="ListParagraph"/>
        <w:numPr>
          <w:ilvl w:val="1"/>
          <w:numId w:val="5"/>
        </w:numPr>
        <w:jc w:val="both"/>
        <w:rPr>
          <w:rFonts w:ascii="Garamond" w:hAnsi="Garamond"/>
          <w:b/>
        </w:rPr>
      </w:pPr>
      <w:r>
        <w:rPr>
          <w:rFonts w:ascii="Garamond" w:hAnsi="Garamond"/>
          <w:b/>
        </w:rPr>
        <w:t>Other Benefits</w:t>
      </w:r>
    </w:p>
    <w:p>
      <w:pPr>
        <w:pStyle w:val="ListParagraph"/>
        <w:ind w:left="792"/>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lang w:val="en-GB"/>
        </w:rPr>
        <w:t>The Company may provide but shall not be obliged to offer benefits such as relocation, travel, housing, transportation, meals and communication, applicable to the Executive’s category by way of policy approved by the Board of the Company from time to time. The Executive accepts such policy as approved from time to time by the Board of the Company.</w:t>
      </w:r>
    </w:p>
    <w:p>
      <w:pPr>
        <w:ind w:left="720"/>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lang w:val="en-GB"/>
        </w:rPr>
        <w:t xml:space="preserve">Any other benefits provided by the Company to the Executive or his family which are not expressly referred to in this Agreement or in the policies approved by the Board of the Company shall be regarded as </w:t>
      </w:r>
      <w:r>
        <w:rPr>
          <w:rFonts w:ascii="Garamond" w:hAnsi="Garamond"/>
          <w:i/>
          <w:lang w:val="en-GB"/>
        </w:rPr>
        <w:t>ex-gratia</w:t>
      </w:r>
      <w:r>
        <w:rPr>
          <w:rFonts w:ascii="Garamond" w:hAnsi="Garamond"/>
          <w:lang w:val="en-GB"/>
        </w:rPr>
        <w:t xml:space="preserve"> and at the entire discretion of the Company and shall not form part of the Executive’s on-going benefits.</w:t>
      </w:r>
    </w:p>
    <w:p>
      <w:pPr>
        <w:jc w:val="both"/>
        <w:rPr>
          <w:rFonts w:ascii="Garamond" w:hAnsi="Garamond"/>
        </w:rPr>
      </w:pPr>
    </w:p>
    <w:p>
      <w:pPr>
        <w:pStyle w:val="ListParagraph"/>
        <w:numPr>
          <w:ilvl w:val="1"/>
          <w:numId w:val="5"/>
        </w:numPr>
        <w:jc w:val="both"/>
        <w:rPr>
          <w:rFonts w:ascii="Garamond" w:hAnsi="Garamond"/>
          <w:b/>
        </w:rPr>
      </w:pPr>
      <w:r>
        <w:rPr>
          <w:rFonts w:ascii="Garamond" w:hAnsi="Garamond"/>
          <w:b/>
        </w:rPr>
        <w:t>Payments</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Payment shall be made by telegraphic bank transfer to the bank account of the Executive at the bank to be nominated in writing by the Executive and notified to the Company in writing from time to time.</w:t>
      </w:r>
    </w:p>
    <w:p>
      <w:pPr>
        <w:ind w:left="1440" w:hanging="720"/>
        <w:jc w:val="both"/>
        <w:rPr>
          <w:rFonts w:ascii="Garamond" w:hAnsi="Garamond"/>
          <w:b/>
        </w:rPr>
      </w:pPr>
    </w:p>
    <w:p>
      <w:pPr>
        <w:pStyle w:val="ListParagraph"/>
        <w:numPr>
          <w:ilvl w:val="0"/>
          <w:numId w:val="5"/>
        </w:numPr>
        <w:jc w:val="both"/>
        <w:rPr>
          <w:rFonts w:ascii="Garamond" w:hAnsi="Garamond"/>
          <w:b/>
        </w:rPr>
      </w:pPr>
      <w:r>
        <w:rPr>
          <w:rFonts w:ascii="Garamond" w:hAnsi="Garamond"/>
          <w:b/>
        </w:rPr>
        <w:t>TERM AND TERMINATION</w:t>
      </w:r>
    </w:p>
    <w:p>
      <w:pPr>
        <w:pStyle w:val="ListParagraph"/>
        <w:ind w:left="360"/>
        <w:jc w:val="both"/>
        <w:rPr>
          <w:rFonts w:ascii="Garamond" w:hAnsi="Garamond"/>
          <w:b/>
        </w:rPr>
      </w:pPr>
    </w:p>
    <w:p>
      <w:pPr>
        <w:pStyle w:val="ListParagraph"/>
        <w:numPr>
          <w:ilvl w:val="1"/>
          <w:numId w:val="5"/>
        </w:numPr>
        <w:jc w:val="both"/>
        <w:rPr>
          <w:rFonts w:ascii="Garamond" w:hAnsi="Garamond"/>
          <w:b/>
        </w:rPr>
      </w:pPr>
      <w:r>
        <w:rPr>
          <w:rFonts w:ascii="Garamond" w:hAnsi="Garamond"/>
          <w:b/>
        </w:rPr>
        <w:t>Term</w:t>
      </w:r>
    </w:p>
    <w:p>
      <w:pPr>
        <w:pStyle w:val="ListParagraph"/>
        <w:ind w:left="792"/>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The Executive shall commence his duties and the Services from the Commencement Date and subject to other provisions in this clause 4 shall continue such duties and Services for the duration of the Term, unless terminated:</w:t>
      </w:r>
    </w:p>
    <w:p>
      <w:pPr>
        <w:jc w:val="both"/>
        <w:rPr>
          <w:rFonts w:ascii="Garamond" w:hAnsi="Garamond"/>
        </w:rPr>
      </w:pPr>
    </w:p>
    <w:p>
      <w:pPr>
        <w:pStyle w:val="ListParagraph"/>
        <w:numPr>
          <w:ilvl w:val="3"/>
          <w:numId w:val="5"/>
        </w:numPr>
        <w:ind w:left="2160" w:hanging="1080"/>
        <w:jc w:val="both"/>
        <w:rPr>
          <w:rFonts w:ascii="Garamond" w:hAnsi="Garamond"/>
        </w:rPr>
      </w:pPr>
      <w:r>
        <w:rPr>
          <w:rFonts w:ascii="Garamond" w:hAnsi="Garamond"/>
        </w:rPr>
        <w:t>by either Party with not less than the Standard Notice prior to the intended Termination Date;</w:t>
      </w:r>
    </w:p>
    <w:p>
      <w:pPr>
        <w:ind w:left="2552" w:hanging="851"/>
        <w:jc w:val="both"/>
        <w:rPr>
          <w:rFonts w:ascii="Garamond" w:hAnsi="Garamond"/>
        </w:rPr>
      </w:pPr>
    </w:p>
    <w:p>
      <w:pPr>
        <w:pStyle w:val="ListParagraph"/>
        <w:numPr>
          <w:ilvl w:val="3"/>
          <w:numId w:val="5"/>
        </w:numPr>
        <w:jc w:val="both"/>
        <w:rPr>
          <w:rFonts w:ascii="Garamond" w:hAnsi="Garamond"/>
        </w:rPr>
      </w:pPr>
      <w:r>
        <w:rPr>
          <w:rFonts w:ascii="Garamond" w:hAnsi="Garamond"/>
        </w:rPr>
        <w:t xml:space="preserve">under the provisions set out in clause </w:t>
      </w:r>
      <w:r>
        <w:fldChar w:fldCharType="begin"/>
      </w:r>
      <w:r>
        <w:instrText xml:space="preserve"> REF _Ref248841792 \r \h  \* MERGEFORMAT </w:instrText>
      </w:r>
      <w:r>
        <w:fldChar w:fldCharType="separate"/>
      </w:r>
      <w:r>
        <w:rPr>
          <w:rFonts w:ascii="Garamond" w:hAnsi="Garamond"/>
        </w:rPr>
        <w:t>4.2</w:t>
      </w:r>
      <w:r>
        <w:fldChar w:fldCharType="end"/>
      </w:r>
      <w:r>
        <w:rPr>
          <w:rFonts w:ascii="Garamond" w:hAnsi="Garamond"/>
        </w:rPr>
        <w:t>; or</w:t>
      </w:r>
    </w:p>
    <w:p>
      <w:pPr>
        <w:ind w:left="2552" w:hanging="851"/>
        <w:jc w:val="both"/>
        <w:rPr>
          <w:rFonts w:ascii="Garamond" w:hAnsi="Garamond"/>
        </w:rPr>
      </w:pPr>
    </w:p>
    <w:p>
      <w:pPr>
        <w:pStyle w:val="ListParagraph"/>
        <w:numPr>
          <w:ilvl w:val="3"/>
          <w:numId w:val="5"/>
        </w:numPr>
        <w:jc w:val="both"/>
        <w:rPr>
          <w:rFonts w:ascii="Garamond" w:hAnsi="Garamond"/>
        </w:rPr>
      </w:pPr>
      <w:r>
        <w:rPr>
          <w:rFonts w:ascii="Garamond" w:hAnsi="Garamond"/>
        </w:rPr>
        <w:t>by written agreement between the Parties.</w:t>
      </w:r>
    </w:p>
    <w:p>
      <w:pPr>
        <w:jc w:val="both"/>
        <w:rPr>
          <w:rFonts w:ascii="Garamond" w:hAnsi="Garamond"/>
        </w:rPr>
      </w:pPr>
    </w:p>
    <w:p>
      <w:pPr>
        <w:pStyle w:val="ListParagraph"/>
        <w:numPr>
          <w:ilvl w:val="2"/>
          <w:numId w:val="5"/>
        </w:numPr>
        <w:ind w:left="1440" w:hanging="720"/>
        <w:jc w:val="both"/>
        <w:rPr>
          <w:rFonts w:ascii="Garamond" w:hAnsi="Garamond"/>
        </w:rPr>
      </w:pPr>
      <w:r>
        <w:rPr>
          <w:rFonts w:ascii="Garamond" w:hAnsi="Garamond"/>
        </w:rPr>
        <w:t>The Term of this Agreement may be renewed for an additional period equal to the Term upon written agreement between the Parties executed no less than three (3) months before the expiry of the Term.</w:t>
      </w:r>
    </w:p>
    <w:p>
      <w:pPr>
        <w:jc w:val="both"/>
        <w:rPr>
          <w:rFonts w:ascii="Garamond" w:hAnsi="Garamond"/>
          <w:b/>
        </w:rPr>
      </w:pPr>
    </w:p>
    <w:p>
      <w:pPr>
        <w:pStyle w:val="ListParagraph"/>
        <w:numPr>
          <w:ilvl w:val="1"/>
          <w:numId w:val="5"/>
        </w:numPr>
        <w:ind w:left="1134" w:hanging="567"/>
        <w:jc w:val="both"/>
        <w:rPr>
          <w:rFonts w:ascii="Garamond" w:hAnsi="Garamond"/>
          <w:b/>
        </w:rPr>
      </w:pPr>
      <w:bookmarkStart w:id="4" w:name="_Ref248841792"/>
      <w:r>
        <w:rPr>
          <w:rFonts w:ascii="Garamond" w:hAnsi="Garamond"/>
          <w:b/>
        </w:rPr>
        <w:t>Suspension</w:t>
      </w:r>
    </w:p>
    <w:p>
      <w:pPr>
        <w:ind w:left="567"/>
        <w:jc w:val="both"/>
        <w:rPr>
          <w:rFonts w:ascii="Garamond" w:hAnsi="Garamond"/>
          <w:b/>
        </w:rPr>
      </w:pPr>
    </w:p>
    <w:p>
      <w:pPr>
        <w:pStyle w:val="ListParagraph"/>
        <w:numPr>
          <w:ilvl w:val="2"/>
          <w:numId w:val="5"/>
        </w:numPr>
        <w:tabs>
          <w:tab w:val="left" w:pos="1440"/>
        </w:tabs>
        <w:ind w:left="1440" w:hanging="720"/>
        <w:jc w:val="both"/>
        <w:rPr>
          <w:rFonts w:ascii="Garamond" w:hAnsi="Garamond"/>
        </w:rPr>
      </w:pPr>
      <w:r>
        <w:rPr>
          <w:rFonts w:ascii="Garamond" w:hAnsi="Garamond"/>
          <w:lang w:val="en-GB"/>
        </w:rPr>
        <w:t xml:space="preserve">If the Company becomes entitled to terminate the Executive pursuant to clause 4.3 or any other provision in this Agreement, or whilst the Company investigates any allegation which would or may entitle the Company to terminate the Executive pursuant to this Agreement, it shall be entitled (but without prejudice to its right subsequently to terminate such appointment on the same or any other ground) to suspend the </w:t>
      </w:r>
      <w:r>
        <w:rPr>
          <w:rFonts w:ascii="Garamond" w:hAnsi="Garamond"/>
          <w:lang w:val="en-GB"/>
        </w:rPr>
        <w:lastRenderedPageBreak/>
        <w:t>Executive on full pay for so long as it may think fit.  During the period of any suspension the Executive will continue to be bound by the provisions of this Agreement and must continue at all times to conduct himself with good faith towards the Company.</w:t>
      </w:r>
    </w:p>
    <w:p>
      <w:pPr>
        <w:pStyle w:val="ListParagraph"/>
        <w:tabs>
          <w:tab w:val="left" w:pos="1440"/>
        </w:tabs>
        <w:ind w:left="1440" w:hanging="720"/>
        <w:jc w:val="both"/>
        <w:rPr>
          <w:rFonts w:ascii="Garamond" w:hAnsi="Garamond"/>
          <w:b/>
        </w:rPr>
      </w:pPr>
    </w:p>
    <w:p>
      <w:pPr>
        <w:pStyle w:val="ListParagraph"/>
        <w:numPr>
          <w:ilvl w:val="1"/>
          <w:numId w:val="5"/>
        </w:numPr>
        <w:ind w:left="1134" w:hanging="567"/>
        <w:jc w:val="both"/>
        <w:rPr>
          <w:rFonts w:ascii="Garamond" w:hAnsi="Garamond"/>
          <w:b/>
        </w:rPr>
      </w:pPr>
      <w:r>
        <w:rPr>
          <w:rFonts w:ascii="Garamond" w:hAnsi="Garamond"/>
          <w:b/>
        </w:rPr>
        <w:t>Termination</w:t>
      </w:r>
      <w:bookmarkEnd w:id="4"/>
    </w:p>
    <w:p>
      <w:pPr>
        <w:ind w:left="1701" w:hanging="567"/>
        <w:jc w:val="both"/>
        <w:rPr>
          <w:rFonts w:ascii="Garamond" w:hAnsi="Garamond"/>
        </w:rPr>
      </w:pPr>
    </w:p>
    <w:p>
      <w:pPr>
        <w:pStyle w:val="ListParagraph"/>
        <w:numPr>
          <w:ilvl w:val="2"/>
          <w:numId w:val="5"/>
        </w:numPr>
        <w:ind w:left="1701" w:hanging="567"/>
        <w:jc w:val="both"/>
        <w:rPr>
          <w:rFonts w:ascii="Garamond" w:hAnsi="Garamond"/>
          <w:b/>
        </w:rPr>
      </w:pPr>
      <w:r>
        <w:rPr>
          <w:rFonts w:ascii="Garamond" w:hAnsi="Garamond"/>
        </w:rPr>
        <w:t>Either Party (“</w:t>
      </w:r>
      <w:r>
        <w:rPr>
          <w:rFonts w:ascii="Garamond" w:hAnsi="Garamond"/>
          <w:b/>
        </w:rPr>
        <w:t>Non-defaulting Party</w:t>
      </w:r>
      <w:r>
        <w:rPr>
          <w:rFonts w:ascii="Garamond" w:hAnsi="Garamond"/>
        </w:rPr>
        <w:t>”) may terminate this Agreement immediately upon prior written notice to the other (“</w:t>
      </w:r>
      <w:r>
        <w:rPr>
          <w:rFonts w:ascii="Garamond" w:hAnsi="Garamond"/>
          <w:b/>
        </w:rPr>
        <w:t>Defaulting Party</w:t>
      </w:r>
      <w:r>
        <w:rPr>
          <w:rFonts w:ascii="Garamond" w:hAnsi="Garamond"/>
        </w:rPr>
        <w:t>”), in the event the Defaulting Party has committed a material breach of this Agreement and, if such breach is capable of remedy, has failed to remedy the breach within twenty (20) clear Business Days after receiving notice specifying the breach and requiring the breach to be remedied. If such a breach is incapable of remedy, the Non-defaulting Party may terminate this Agreement immediately upon prior written notice to the Defaulting Party.</w:t>
      </w:r>
      <w:bookmarkStart w:id="5" w:name="_Ref138516471"/>
      <w:r>
        <w:rPr>
          <w:rFonts w:ascii="Garamond" w:hAnsi="Garamond"/>
        </w:rPr>
        <w:t xml:space="preserve"> For the purposes of this clause, a breach shall be considered capable of remedy if the Defaulting Party can comply with the provision in question in all respects other than time of performance (provided that time of performance is not of the essence)</w:t>
      </w:r>
      <w:bookmarkEnd w:id="5"/>
      <w:r>
        <w:rPr>
          <w:rFonts w:ascii="Garamond" w:hAnsi="Garamond"/>
        </w:rPr>
        <w:t xml:space="preserve"> and the breach does not relate directly or indirectly with a breach of clauses 9, 10, 12 and 13 or any material breach of clause 11.</w:t>
      </w:r>
    </w:p>
    <w:p>
      <w:pPr>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Either Party may terminate this Agreement immediately by notice in writing if the other Party enters into liquidation whether compulsorily or voluntarily (otherwise than for the purposes of a solvent amalgamation or reconstruction); becomes insolvent; ceases or threatens to cease to carry on business; compounds or makes any voluntary arrangement with its creditors; is the subject of a notice of appointment of an administrator, or a notice of intention to appoint an administrator or liquidator; is unable to pay its debts as they fall due; has an encumbrance on, has possession taken of, or a receiver or administrative receiver appointed over all or any part of its assets; takes or suffers any similar action due to debt; or if the equivalent of any of the events described in this clause 4.3.2 occurs under the Law of any jurisdiction occurs in relation to the said other Party. This Agreement may be deemed terminated immediately upon the death of the Executive.</w:t>
      </w:r>
    </w:p>
    <w:p>
      <w:pPr>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Notwithstanding any other provision in the Agreement, the Company may terminate this Agreement immediately if the Executive shall have:</w:t>
      </w:r>
    </w:p>
    <w:p>
      <w:pPr>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committed an act of misconduct or wilful neglect in the discharge of his duties and Services hereunder;</w:t>
      </w:r>
    </w:p>
    <w:p>
      <w:pPr>
        <w:ind w:left="1080"/>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committed by act or omission any serious, repeated or continued breach (after warning) of the Executive’s obligations hereunder;</w:t>
      </w:r>
    </w:p>
    <w:p>
      <w:pPr>
        <w:ind w:left="2790" w:hanging="1080"/>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 xml:space="preserve">been guilty of conduct by act or omission (whether in the course of the duties hereunder or otherwise) of intending to bring (in the reasonable opinion of the Company) the </w:t>
      </w:r>
      <w:r>
        <w:rPr>
          <w:rFonts w:ascii="Garamond" w:hAnsi="Garamond"/>
          <w:lang w:val="en-GB"/>
        </w:rPr>
        <w:lastRenderedPageBreak/>
        <w:t>Company or any Related Company into disrepute or which causes the Company or any Related Company material economic harm;</w:t>
      </w:r>
    </w:p>
    <w:p>
      <w:pPr>
        <w:ind w:left="2790" w:hanging="1080"/>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failed to perform the duties hereunder to a satisfactory standard (in the discretion of the Company);</w:t>
      </w:r>
    </w:p>
    <w:p>
      <w:pPr>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 xml:space="preserve">been convicted of any criminal offence (other than an offence under road traffic legislation in Taiwan, </w:t>
      </w:r>
      <w:r>
        <w:rPr>
          <w:rFonts w:ascii="Garamond" w:hAnsi="Garamond" w:hint="eastAsia"/>
          <w:lang w:val="en-GB"/>
        </w:rPr>
        <w:t>Hong Kong</w:t>
      </w:r>
      <w:r>
        <w:rPr>
          <w:rFonts w:ascii="Garamond" w:hAnsi="Garamond"/>
          <w:lang w:val="en-GB"/>
        </w:rPr>
        <w:t xml:space="preserve"> or elsewhere for which only a fine or non-custodial penalty is imposed);</w:t>
      </w:r>
    </w:p>
    <w:p>
      <w:pPr>
        <w:ind w:left="2790" w:hanging="1080"/>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become prevented by law or regulation from performing any material part of his/her duties;</w:t>
      </w:r>
    </w:p>
    <w:p>
      <w:pPr>
        <w:ind w:left="2790" w:hanging="1080"/>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been absent from work (without medical reasons) for more than seven (7) days within any three (3) month period; or</w:t>
      </w:r>
    </w:p>
    <w:p>
      <w:pPr>
        <w:ind w:left="2790" w:hanging="1080"/>
        <w:jc w:val="both"/>
        <w:rPr>
          <w:rFonts w:ascii="Garamond" w:hAnsi="Garamond"/>
        </w:rPr>
      </w:pPr>
    </w:p>
    <w:p>
      <w:pPr>
        <w:pStyle w:val="ListParagraph"/>
        <w:numPr>
          <w:ilvl w:val="3"/>
          <w:numId w:val="5"/>
        </w:numPr>
        <w:ind w:left="2790" w:hanging="1080"/>
        <w:jc w:val="both"/>
        <w:rPr>
          <w:rFonts w:ascii="Garamond" w:hAnsi="Garamond"/>
        </w:rPr>
      </w:pPr>
      <w:r>
        <w:rPr>
          <w:rFonts w:ascii="Garamond" w:hAnsi="Garamond"/>
          <w:lang w:val="en-GB"/>
        </w:rPr>
        <w:t>become of unsound mind.</w:t>
      </w:r>
    </w:p>
    <w:p>
      <w:pPr>
        <w:ind w:left="1701" w:hanging="567"/>
        <w:jc w:val="both"/>
        <w:rPr>
          <w:rFonts w:ascii="Garamond" w:hAnsi="Garamond"/>
        </w:rPr>
      </w:pPr>
    </w:p>
    <w:p>
      <w:pPr>
        <w:pStyle w:val="ListParagraph"/>
        <w:numPr>
          <w:ilvl w:val="1"/>
          <w:numId w:val="5"/>
        </w:numPr>
        <w:jc w:val="both"/>
        <w:rPr>
          <w:rFonts w:ascii="Garamond" w:hAnsi="Garamond"/>
          <w:b/>
        </w:rPr>
      </w:pPr>
      <w:r>
        <w:rPr>
          <w:rFonts w:ascii="Garamond" w:hAnsi="Garamond"/>
          <w:b/>
        </w:rPr>
        <w:t>Payment in Lieu of Notice</w:t>
      </w:r>
    </w:p>
    <w:p>
      <w:pPr>
        <w:pStyle w:val="ListParagraph"/>
        <w:ind w:left="792"/>
        <w:jc w:val="both"/>
        <w:rPr>
          <w:rFonts w:ascii="Garamond" w:hAnsi="Garamond"/>
        </w:rPr>
      </w:pPr>
    </w:p>
    <w:p>
      <w:pPr>
        <w:pStyle w:val="ListParagraph"/>
        <w:numPr>
          <w:ilvl w:val="2"/>
          <w:numId w:val="5"/>
        </w:numPr>
        <w:jc w:val="both"/>
        <w:rPr>
          <w:rFonts w:ascii="Garamond" w:hAnsi="Garamond"/>
        </w:rPr>
      </w:pPr>
      <w:r>
        <w:rPr>
          <w:rFonts w:ascii="Garamond" w:hAnsi="Garamond"/>
          <w:lang w:val="en-GB"/>
        </w:rPr>
        <w:t>The Company also reserves the right in its sole and absolute discretion to terminate this Agreement and the Executive forthwith by payment of the Executive’s Basic Remuneration proportionally in lieu of any requisite notice period (or any part thereof).</w:t>
      </w:r>
    </w:p>
    <w:p>
      <w:pPr>
        <w:ind w:left="720"/>
        <w:jc w:val="both"/>
        <w:rPr>
          <w:rFonts w:ascii="Garamond" w:hAnsi="Garamond"/>
        </w:rPr>
      </w:pPr>
    </w:p>
    <w:p>
      <w:pPr>
        <w:pStyle w:val="ListParagraph"/>
        <w:numPr>
          <w:ilvl w:val="1"/>
          <w:numId w:val="5"/>
        </w:numPr>
        <w:jc w:val="both"/>
        <w:rPr>
          <w:rFonts w:ascii="Garamond" w:hAnsi="Garamond"/>
          <w:b/>
        </w:rPr>
      </w:pPr>
      <w:r>
        <w:rPr>
          <w:rFonts w:ascii="Garamond" w:hAnsi="Garamond"/>
          <w:b/>
        </w:rPr>
        <w:t>Garden Leave</w:t>
      </w:r>
    </w:p>
    <w:p>
      <w:pPr>
        <w:ind w:left="360"/>
        <w:jc w:val="both"/>
        <w:rPr>
          <w:rFonts w:ascii="Garamond" w:hAnsi="Garamond"/>
        </w:rPr>
      </w:pPr>
    </w:p>
    <w:p>
      <w:pPr>
        <w:pStyle w:val="ListParagraph"/>
        <w:numPr>
          <w:ilvl w:val="2"/>
          <w:numId w:val="5"/>
        </w:numPr>
        <w:jc w:val="both"/>
        <w:rPr>
          <w:rFonts w:ascii="Garamond" w:hAnsi="Garamond"/>
        </w:rPr>
      </w:pPr>
      <w:r>
        <w:rPr>
          <w:rFonts w:ascii="Garamond" w:hAnsi="Garamond"/>
          <w:lang w:val="en-GB"/>
        </w:rPr>
        <w:t>During any period of notice of termination or part thereof (whether given by the Company or the Executive), the Company shall be under no obligation to assign any duties to the Executive and shall be entitled (without prejudice to the operation of other clauses in this Agreement) to exclude him from the Company’s premises and to direct that the Executive refrains from contacting any customers, clients, suppliers, agents, professional advisers or employees of the Company or any Related Company and refrains from accessing the computer or other data or similar system of the Company or any Related Company (whether directly or indirectly) provided that this shall not affect the Executive’s entitlement to receive Basic Remuneration or other contractual benefits. For the avoidance of doubt, during such period the Executive shall continue to be bound by the same obligations to the Company as were owed prior to the commencement of the respective notice period including for the avoidance of doubt the duty of good faith and fidelity.</w:t>
      </w:r>
    </w:p>
    <w:p>
      <w:pPr>
        <w:ind w:left="1134"/>
        <w:jc w:val="both"/>
        <w:rPr>
          <w:rFonts w:ascii="Garamond" w:hAnsi="Garamond"/>
        </w:rPr>
      </w:pPr>
    </w:p>
    <w:p>
      <w:pPr>
        <w:pStyle w:val="ListParagraph"/>
        <w:numPr>
          <w:ilvl w:val="1"/>
          <w:numId w:val="5"/>
        </w:numPr>
        <w:jc w:val="both"/>
        <w:rPr>
          <w:rFonts w:ascii="Garamond" w:hAnsi="Garamond"/>
          <w:b/>
        </w:rPr>
      </w:pPr>
      <w:r>
        <w:rPr>
          <w:rFonts w:ascii="Garamond" w:hAnsi="Garamond"/>
          <w:b/>
        </w:rPr>
        <w:t>Effect of Termination</w:t>
      </w:r>
    </w:p>
    <w:p>
      <w:pPr>
        <w:pStyle w:val="ListParagraph"/>
        <w:ind w:left="1701"/>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Upon the termination of this Agreement, whatever the reason for termination:</w:t>
      </w:r>
    </w:p>
    <w:p>
      <w:pPr>
        <w:jc w:val="both"/>
        <w:rPr>
          <w:rFonts w:ascii="Garamond" w:hAnsi="Garamond"/>
        </w:rPr>
      </w:pPr>
    </w:p>
    <w:p>
      <w:pPr>
        <w:pStyle w:val="ListParagraph"/>
        <w:numPr>
          <w:ilvl w:val="3"/>
          <w:numId w:val="5"/>
        </w:numPr>
        <w:ind w:left="2552" w:hanging="851"/>
        <w:jc w:val="both"/>
        <w:rPr>
          <w:rFonts w:ascii="Garamond" w:hAnsi="Garamond"/>
        </w:rPr>
      </w:pPr>
      <w:r>
        <w:rPr>
          <w:rFonts w:ascii="Garamond" w:hAnsi="Garamond"/>
          <w:lang w:val="en-GB"/>
        </w:rPr>
        <w:lastRenderedPageBreak/>
        <w:t xml:space="preserve">the Executive shall cooperate with the Company by providing such assistance as may reasonably be required in connection with any handover arrangements or any claim made by or against the Company or any Related Company. </w:t>
      </w:r>
      <w:r>
        <w:rPr>
          <w:rFonts w:ascii="Garamond" w:hAnsi="Garamond"/>
        </w:rPr>
        <w:t>This provision shall survive the expiry or termination of this Agreement whatever the cause for termination</w:t>
      </w:r>
      <w:r>
        <w:rPr>
          <w:rFonts w:ascii="Garamond" w:hAnsi="Garamond"/>
          <w:lang w:val="en-GB"/>
        </w:rPr>
        <w:t>;</w:t>
      </w:r>
    </w:p>
    <w:p>
      <w:pPr>
        <w:ind w:left="1701"/>
        <w:jc w:val="both"/>
        <w:rPr>
          <w:rFonts w:ascii="Garamond" w:hAnsi="Garamond"/>
        </w:rPr>
      </w:pPr>
    </w:p>
    <w:p>
      <w:pPr>
        <w:pStyle w:val="ListParagraph"/>
        <w:numPr>
          <w:ilvl w:val="3"/>
          <w:numId w:val="5"/>
        </w:numPr>
        <w:ind w:left="2552" w:hanging="851"/>
        <w:jc w:val="both"/>
        <w:rPr>
          <w:rFonts w:ascii="Garamond" w:hAnsi="Garamond"/>
        </w:rPr>
      </w:pPr>
      <w:r>
        <w:rPr>
          <w:rFonts w:ascii="Garamond" w:hAnsi="Garamond"/>
        </w:rPr>
        <w:t>the Parties shall cease their obligations and duties under this Agreement, except those provisions that are indicated to survive the expiry or termination of this Agreement;</w:t>
      </w:r>
    </w:p>
    <w:p>
      <w:pPr>
        <w:ind w:left="2552" w:hanging="851"/>
        <w:jc w:val="both"/>
        <w:rPr>
          <w:rFonts w:ascii="Garamond" w:hAnsi="Garamond"/>
        </w:rPr>
      </w:pPr>
    </w:p>
    <w:p>
      <w:pPr>
        <w:pStyle w:val="ListParagraph"/>
        <w:numPr>
          <w:ilvl w:val="3"/>
          <w:numId w:val="5"/>
        </w:numPr>
        <w:ind w:left="2552" w:hanging="851"/>
        <w:jc w:val="both"/>
        <w:rPr>
          <w:rFonts w:ascii="Garamond" w:hAnsi="Garamond"/>
        </w:rPr>
      </w:pPr>
      <w:r>
        <w:rPr>
          <w:rFonts w:ascii="Garamond" w:hAnsi="Garamond"/>
        </w:rPr>
        <w:t xml:space="preserve">each of the Parties shall immediately return to the relevant rightful owner Party, any and all Confidential Information within its possession or under its control. </w:t>
      </w:r>
      <w:r>
        <w:rPr>
          <w:rFonts w:ascii="Garamond" w:hAnsi="Garamond"/>
          <w:lang w:val="en-GB"/>
        </w:rPr>
        <w:t>The Executive must return to the Company in accordance with its instructions all equipment, correspondence, records, specifications, software, disks, models, notes, reports and other documents or materials and copies thereof and any other property belonging to the Company or a Related Company, which are in the Executive’s possession or control. The Executive must, if so requested by the Company, confirm in writing their compliance with this clause;</w:t>
      </w:r>
    </w:p>
    <w:p>
      <w:pPr>
        <w:ind w:left="2552" w:hanging="851"/>
        <w:jc w:val="both"/>
        <w:rPr>
          <w:rFonts w:ascii="Garamond" w:hAnsi="Garamond"/>
        </w:rPr>
      </w:pPr>
    </w:p>
    <w:p>
      <w:pPr>
        <w:pStyle w:val="ListParagraph"/>
        <w:numPr>
          <w:ilvl w:val="3"/>
          <w:numId w:val="5"/>
        </w:numPr>
        <w:ind w:left="2552" w:hanging="851"/>
        <w:jc w:val="both"/>
        <w:rPr>
          <w:rFonts w:ascii="Garamond" w:hAnsi="Garamond"/>
        </w:rPr>
      </w:pPr>
      <w:r>
        <w:rPr>
          <w:rFonts w:ascii="Garamond" w:hAnsi="Garamond"/>
        </w:rPr>
        <w:t>no Party shall make any Press Release related directly or indirectly to this Agreement or the termination thereof without the prior written consent of the other Party. This provision shall survive the expiry or termination of this Agreement whatever the cause for termination.</w:t>
      </w:r>
    </w:p>
    <w:p>
      <w:pPr>
        <w:ind w:left="2552" w:hanging="851"/>
        <w:jc w:val="both"/>
        <w:rPr>
          <w:rFonts w:ascii="Garamond" w:hAnsi="Garamond"/>
        </w:rPr>
      </w:pPr>
    </w:p>
    <w:p>
      <w:pPr>
        <w:pStyle w:val="ListParagraph"/>
        <w:numPr>
          <w:ilvl w:val="2"/>
          <w:numId w:val="5"/>
        </w:numPr>
        <w:jc w:val="both"/>
        <w:rPr>
          <w:rFonts w:ascii="Garamond" w:hAnsi="Garamond"/>
        </w:rPr>
      </w:pPr>
      <w:r>
        <w:rPr>
          <w:rFonts w:ascii="Garamond" w:hAnsi="Garamond"/>
        </w:rPr>
        <w:t>the expiration or termination of this Agreement shall not affect those terms which are expressed to operate or have effect after its termination and shall be without prejudice to any right, right of action or claim which the Parties may have for damages arising from breach of this Agreement by any other Party.</w:t>
      </w:r>
    </w:p>
    <w:p>
      <w:pPr>
        <w:rPr>
          <w:rFonts w:ascii="Garamond" w:hAnsi="Garamond"/>
          <w:b/>
        </w:rPr>
      </w:pPr>
    </w:p>
    <w:p>
      <w:pPr>
        <w:pStyle w:val="ListParagraph"/>
        <w:numPr>
          <w:ilvl w:val="0"/>
          <w:numId w:val="5"/>
        </w:numPr>
        <w:jc w:val="both"/>
        <w:rPr>
          <w:rFonts w:ascii="Garamond" w:hAnsi="Garamond"/>
          <w:b/>
        </w:rPr>
      </w:pPr>
      <w:r>
        <w:rPr>
          <w:rFonts w:ascii="Garamond" w:hAnsi="Garamond"/>
          <w:b/>
        </w:rPr>
        <w:t>RESTRICTIONS DURING AND AFTER THE ENGAGEMENT</w:t>
      </w:r>
    </w:p>
    <w:p>
      <w:pPr>
        <w:pStyle w:val="ListParagraph"/>
        <w:ind w:left="360"/>
        <w:jc w:val="both"/>
        <w:rPr>
          <w:rFonts w:ascii="Garamond" w:hAnsi="Garamond"/>
          <w:b/>
        </w:rPr>
      </w:pPr>
    </w:p>
    <w:p>
      <w:pPr>
        <w:pStyle w:val="ListParagraph"/>
        <w:numPr>
          <w:ilvl w:val="1"/>
          <w:numId w:val="5"/>
        </w:numPr>
        <w:ind w:left="1134" w:hanging="567"/>
        <w:jc w:val="both"/>
        <w:rPr>
          <w:rFonts w:ascii="Garamond" w:hAnsi="Garamond"/>
          <w:b/>
        </w:rPr>
      </w:pPr>
      <w:r>
        <w:rPr>
          <w:rFonts w:ascii="Garamond" w:hAnsi="Garamond"/>
        </w:rPr>
        <w:t>During the Term and for twelve (12) months after the Termination Date, regardless of the reason for termination, the Executive shall not, directly or indirectly, anywhere in the world, by himself or on behalf of any person:</w:t>
      </w:r>
    </w:p>
    <w:p>
      <w:pPr>
        <w:pStyle w:val="ListParagraph"/>
        <w:ind w:left="1134"/>
        <w:jc w:val="both"/>
        <w:rPr>
          <w:rFonts w:ascii="Garamond" w:hAnsi="Garamond"/>
          <w:b/>
        </w:rPr>
      </w:pPr>
    </w:p>
    <w:p>
      <w:pPr>
        <w:pStyle w:val="ListParagraph"/>
        <w:numPr>
          <w:ilvl w:val="2"/>
          <w:numId w:val="5"/>
        </w:numPr>
        <w:ind w:left="1985" w:hanging="851"/>
        <w:jc w:val="both"/>
        <w:rPr>
          <w:rFonts w:ascii="Garamond" w:hAnsi="Garamond"/>
        </w:rPr>
      </w:pPr>
      <w:r>
        <w:rPr>
          <w:rFonts w:ascii="Garamond" w:hAnsi="Garamond"/>
        </w:rPr>
        <w:t xml:space="preserve">deal with, canvass, solicit or endeavour to take away from the Company or a Related Company, whether directly or indirectly and whether on his own behalf or on behalf of any other person, firm, company or other entity, any customers or prospective customers, business partners, clients, suppliers or any person that during the Term has a business or contractual relationship with the Company or a related Company; </w:t>
      </w:r>
    </w:p>
    <w:p>
      <w:pPr>
        <w:pStyle w:val="ListParagraph"/>
        <w:ind w:left="1985"/>
        <w:jc w:val="both"/>
        <w:rPr>
          <w:rFonts w:ascii="Garamond" w:hAnsi="Garamond"/>
        </w:rPr>
      </w:pPr>
    </w:p>
    <w:p>
      <w:pPr>
        <w:pStyle w:val="ListParagraph"/>
        <w:numPr>
          <w:ilvl w:val="2"/>
          <w:numId w:val="5"/>
        </w:numPr>
        <w:ind w:left="1985" w:hanging="851"/>
        <w:jc w:val="both"/>
        <w:rPr>
          <w:rFonts w:ascii="Garamond" w:hAnsi="Garamond"/>
        </w:rPr>
      </w:pPr>
      <w:r>
        <w:rPr>
          <w:rFonts w:ascii="Garamond" w:hAnsi="Garamond"/>
        </w:rPr>
        <w:t xml:space="preserve">directly or indirectly solicit or entice away from or endeavour to entice away from the Company or any Related Company any </w:t>
      </w:r>
      <w:r>
        <w:rPr>
          <w:rFonts w:ascii="Garamond" w:hAnsi="Garamond"/>
        </w:rPr>
        <w:lastRenderedPageBreak/>
        <w:t xml:space="preserve">individual employed or engaged by the Company or any Related Company; </w:t>
      </w:r>
    </w:p>
    <w:p>
      <w:pPr>
        <w:pStyle w:val="ListParagraph"/>
        <w:rPr>
          <w:rFonts w:ascii="Garamond" w:hAnsi="Garamond"/>
        </w:rPr>
      </w:pPr>
    </w:p>
    <w:p>
      <w:pPr>
        <w:pStyle w:val="ListParagraph"/>
        <w:numPr>
          <w:ilvl w:val="2"/>
          <w:numId w:val="5"/>
        </w:numPr>
        <w:ind w:left="1985" w:hanging="851"/>
        <w:jc w:val="both"/>
        <w:rPr>
          <w:rFonts w:ascii="Garamond" w:hAnsi="Garamond"/>
        </w:rPr>
      </w:pPr>
      <w:r>
        <w:rPr>
          <w:rFonts w:ascii="Garamond" w:hAnsi="Garamond"/>
        </w:rPr>
        <w:t xml:space="preserve">directly or indirectly make preparations to compete or compete with any business carried on by the Company or any Related Company; or </w:t>
      </w:r>
    </w:p>
    <w:p>
      <w:pPr>
        <w:pStyle w:val="ListParagraph"/>
        <w:rPr>
          <w:rFonts w:ascii="Garamond" w:hAnsi="Garamond"/>
        </w:rPr>
      </w:pPr>
    </w:p>
    <w:p>
      <w:pPr>
        <w:pStyle w:val="ListParagraph"/>
        <w:numPr>
          <w:ilvl w:val="2"/>
          <w:numId w:val="5"/>
        </w:numPr>
        <w:ind w:left="1985" w:hanging="851"/>
        <w:jc w:val="both"/>
        <w:rPr>
          <w:rFonts w:ascii="Garamond" w:hAnsi="Garamond"/>
        </w:rPr>
      </w:pPr>
      <w:r>
        <w:rPr>
          <w:rFonts w:ascii="Garamond" w:hAnsi="Garamond"/>
        </w:rPr>
        <w:t>recruit or attempt to recruit any fellow employee to work for any other person or organisation, either then or at any time in the future. Fellow employee shall mean any employee of the Company or a Related Company who has had personal dealings with the Executive and shall have been working in the Company or a Related Company during the Term.</w:t>
      </w:r>
    </w:p>
    <w:p>
      <w:pPr>
        <w:pStyle w:val="ListParagraph"/>
        <w:ind w:left="1985"/>
        <w:jc w:val="both"/>
        <w:rPr>
          <w:rFonts w:ascii="Garamond" w:hAnsi="Garamond"/>
        </w:rPr>
      </w:pPr>
    </w:p>
    <w:p>
      <w:pPr>
        <w:pStyle w:val="ListParagraph"/>
        <w:numPr>
          <w:ilvl w:val="1"/>
          <w:numId w:val="5"/>
        </w:numPr>
        <w:jc w:val="both"/>
        <w:rPr>
          <w:rFonts w:ascii="Garamond" w:hAnsi="Garamond"/>
        </w:rPr>
      </w:pPr>
      <w:r>
        <w:rPr>
          <w:rFonts w:ascii="Garamond" w:hAnsi="Garamond"/>
        </w:rPr>
        <w:t>The Executive agrees that each of these separate restrictions in this clause 5 is a fair and reasonable restraint of trade no further than reasonably necessary to protect the Company and the Company’s confidential information, staff and customer connections, goodwill and business. While those restrictions are considered by the parties to be reasonable in all the circumstances, it is agreed that if any of those covenants, by themselves or taken together, are adjudged to go beyond what is reasonable in all the circumstances for the protection of the legitimate interests of the Company but would be adjudged reasonable if part or parts of their wording thereof were deleted or amended or qualified or the periods referred to were reduced or the range of products and/or services or area dealt with were reduced in scope, then the relevant restriction or restrictions shall apply with such modification or modifications as may be necessary to make it or them valid and effective.</w:t>
      </w:r>
    </w:p>
    <w:p>
      <w:pPr>
        <w:jc w:val="both"/>
        <w:rPr>
          <w:rFonts w:ascii="Garamond" w:hAnsi="Garamond"/>
        </w:rPr>
      </w:pPr>
    </w:p>
    <w:p>
      <w:pPr>
        <w:pStyle w:val="ListParagraph"/>
        <w:numPr>
          <w:ilvl w:val="0"/>
          <w:numId w:val="5"/>
        </w:numPr>
        <w:jc w:val="both"/>
        <w:rPr>
          <w:rFonts w:ascii="Garamond" w:hAnsi="Garamond"/>
          <w:b/>
        </w:rPr>
      </w:pPr>
      <w:bookmarkStart w:id="6" w:name="_Ref249011665"/>
      <w:r>
        <w:rPr>
          <w:rFonts w:ascii="Garamond" w:hAnsi="Garamond"/>
          <w:b/>
        </w:rPr>
        <w:t>WARRANTIES</w:t>
      </w:r>
      <w:bookmarkEnd w:id="6"/>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Each Party represents and warrants to the other Party that:</w:t>
      </w:r>
    </w:p>
    <w:p>
      <w:pPr>
        <w:pStyle w:val="ListParagraph"/>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it is duly incorporated and validly existing under the laws of the jurisdiction in which it is incorporated and is fully qualified and empowered to own its assets and carry out its business in the case of corporations. In the case of natural persons, has the full capacity and civil rights under the laws of his nationality and habitual residence, with full power and authority to own his assets and properties, and to conduct his business as currently conducted and is fully capable, qualified, empowered and of sound mind to enter into legally binding obligations;</w:t>
      </w:r>
    </w:p>
    <w:p>
      <w:pPr>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the execution and delivery of this Agreement and the performance of its obligations under this Agreement has been duly authorised by all necessary corporate actions in the case of corporations;</w:t>
      </w:r>
    </w:p>
    <w:p>
      <w:pPr>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it has full power to enter into (and to exercise its rights and perform its obligations under) this Agreement and this Agreement when executed will constitute valid, lawful and binding obligations on it, in accordance with its terms and are effective and admissible in evidence without the need for any filing, registration, notarisation or other action;</w:t>
      </w:r>
    </w:p>
    <w:p>
      <w:pPr>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neither the entry into this Agreement nor the implementation of the transactions contemplated by it will result in:</w:t>
      </w:r>
    </w:p>
    <w:p>
      <w:pPr>
        <w:ind w:left="1134" w:hanging="567"/>
        <w:jc w:val="both"/>
        <w:rPr>
          <w:rFonts w:ascii="Garamond" w:hAnsi="Garamond"/>
        </w:rPr>
      </w:pPr>
    </w:p>
    <w:p>
      <w:pPr>
        <w:pStyle w:val="ListParagraph"/>
        <w:numPr>
          <w:ilvl w:val="3"/>
          <w:numId w:val="5"/>
        </w:numPr>
        <w:ind w:left="2552" w:hanging="851"/>
        <w:jc w:val="both"/>
        <w:rPr>
          <w:rFonts w:ascii="Garamond" w:hAnsi="Garamond"/>
        </w:rPr>
      </w:pPr>
      <w:r>
        <w:rPr>
          <w:rFonts w:ascii="Garamond" w:hAnsi="Garamond"/>
        </w:rPr>
        <w:t>a violation or breach of any provision of its constitutional documents or corporate resolutions in the case of corporations;</w:t>
      </w:r>
    </w:p>
    <w:p>
      <w:pPr>
        <w:ind w:left="2552" w:hanging="851"/>
        <w:jc w:val="both"/>
        <w:rPr>
          <w:rFonts w:ascii="Garamond" w:hAnsi="Garamond"/>
        </w:rPr>
      </w:pPr>
    </w:p>
    <w:p>
      <w:pPr>
        <w:pStyle w:val="ListParagraph"/>
        <w:numPr>
          <w:ilvl w:val="3"/>
          <w:numId w:val="5"/>
        </w:numPr>
        <w:ind w:left="2552" w:hanging="851"/>
        <w:jc w:val="both"/>
        <w:rPr>
          <w:rFonts w:ascii="Garamond" w:hAnsi="Garamond"/>
        </w:rPr>
      </w:pPr>
      <w:r>
        <w:rPr>
          <w:rFonts w:ascii="Garamond" w:hAnsi="Garamond"/>
        </w:rPr>
        <w:t>a breach of, or give rise to a default under, any contract or other agreement to which it is a party or by which it is bound; and</w:t>
      </w:r>
    </w:p>
    <w:p>
      <w:pPr>
        <w:ind w:left="2552" w:hanging="851"/>
        <w:jc w:val="both"/>
        <w:rPr>
          <w:rFonts w:ascii="Garamond" w:hAnsi="Garamond"/>
        </w:rPr>
      </w:pPr>
    </w:p>
    <w:p>
      <w:pPr>
        <w:pStyle w:val="ListParagraph"/>
        <w:numPr>
          <w:ilvl w:val="3"/>
          <w:numId w:val="5"/>
        </w:numPr>
        <w:ind w:left="2552" w:hanging="851"/>
        <w:jc w:val="both"/>
        <w:rPr>
          <w:rFonts w:ascii="Garamond" w:hAnsi="Garamond"/>
        </w:rPr>
      </w:pPr>
      <w:r>
        <w:rPr>
          <w:rFonts w:ascii="Garamond" w:hAnsi="Garamond"/>
        </w:rPr>
        <w:t>a violation or breach of any applicable Law, Authorisations, licences or regulations or of any order, decree or judgment of any court, governmental agency or Competent Authority applicable to it or any of its assets.</w:t>
      </w:r>
    </w:p>
    <w:p>
      <w:pPr>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where necessary, it has all the appropriate Authorisations, consents, clearances and licences required by any Competent Authority for its operations to function as envisaged by this Agreement and that it will continue to do so;</w:t>
      </w:r>
    </w:p>
    <w:p>
      <w:pPr>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where applicable, no consent, Authorisation, licence or approval of its shareholders or of any Competent Authority is required to authorise the execution, delivery, validity, enforceability or admissibility in evidence of this Agreement or the performance of its obligations under this Agreement; and</w:t>
      </w:r>
    </w:p>
    <w:p>
      <w:pPr>
        <w:ind w:left="1701" w:hanging="567"/>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it has complied and will continue to comply with all applicable Laws relevant to its entering into this Agreement and performing its obligations and exercising its rights under this Agreement.</w:t>
      </w:r>
    </w:p>
    <w:p>
      <w:pPr>
        <w:jc w:val="both"/>
        <w:rPr>
          <w:rFonts w:ascii="Garamond" w:hAnsi="Garamond"/>
        </w:rPr>
      </w:pPr>
    </w:p>
    <w:p>
      <w:pPr>
        <w:pStyle w:val="ListParagraph"/>
        <w:numPr>
          <w:ilvl w:val="0"/>
          <w:numId w:val="5"/>
        </w:numPr>
        <w:jc w:val="both"/>
        <w:rPr>
          <w:rFonts w:ascii="Garamond" w:hAnsi="Garamond"/>
          <w:b/>
        </w:rPr>
      </w:pPr>
      <w:bookmarkStart w:id="7" w:name="_Ref248850237"/>
      <w:r>
        <w:rPr>
          <w:rFonts w:ascii="Garamond" w:hAnsi="Garamond"/>
          <w:b/>
        </w:rPr>
        <w:t>LIMITATIONS OF LIABILITY</w:t>
      </w:r>
      <w:bookmarkEnd w:id="7"/>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Nothing in this Agreement shall limit or exclude the liability of any Party in respect of fraud, death or injury to persons caused by negligence, or any other liability which by Law cannot be limited or excluded.</w:t>
      </w:r>
    </w:p>
    <w:p>
      <w:pPr>
        <w:jc w:val="both"/>
        <w:rPr>
          <w:rFonts w:ascii="Garamond" w:hAnsi="Garamond"/>
        </w:rPr>
      </w:pPr>
    </w:p>
    <w:p>
      <w:pPr>
        <w:pStyle w:val="ListParagraph"/>
        <w:numPr>
          <w:ilvl w:val="0"/>
          <w:numId w:val="5"/>
        </w:numPr>
        <w:jc w:val="both"/>
        <w:rPr>
          <w:rFonts w:ascii="Garamond" w:hAnsi="Garamond"/>
          <w:b/>
        </w:rPr>
      </w:pPr>
      <w:bookmarkStart w:id="8" w:name="_Ref249011685"/>
      <w:r>
        <w:rPr>
          <w:rFonts w:ascii="Garamond" w:hAnsi="Garamond"/>
          <w:b/>
        </w:rPr>
        <w:t>COST AND TAX</w:t>
      </w:r>
      <w:bookmarkEnd w:id="8"/>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Except as otherwise provided in this Agreement, each Party shall be responsible for its respective legal and other costs incurred in relation to the negotiation, preparation and completion of this Agreement and all ancillary documents.</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Both Parties acknowledge and agree that each independently has sought and obtained advice on its tax liabilities from a competent independent tax advisor with respect to this Agreement.</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 xml:space="preserve">Any payment made by any Party (Payer) to another Party (Payee) in relation to this Agreement is inclusive of any Tax. Any payments </w:t>
      </w:r>
      <w:r>
        <w:rPr>
          <w:rFonts w:ascii="Garamond" w:hAnsi="Garamond"/>
          <w:lang w:val="en-US"/>
        </w:rPr>
        <w:t xml:space="preserve">shall be made in full, </w:t>
      </w:r>
      <w:r>
        <w:rPr>
          <w:rFonts w:ascii="Garamond" w:hAnsi="Garamond"/>
          <w:lang w:val="en-US"/>
        </w:rPr>
        <w:lastRenderedPageBreak/>
        <w:t>without set-off, counterclaim or condition and free and clear of, and without any deduction or withholding</w:t>
      </w:r>
      <w:r>
        <w:rPr>
          <w:rFonts w:ascii="Garamond" w:hAnsi="Garamond"/>
        </w:rPr>
        <w:t>. Each Party shall pay any Tax for which it is liable and will indemnify the other Parties anywhere in the world in relation to any liability in respect thereof.</w:t>
      </w:r>
    </w:p>
    <w:p>
      <w:pPr>
        <w:jc w:val="both"/>
        <w:rPr>
          <w:rFonts w:ascii="Garamond" w:hAnsi="Garamond"/>
        </w:rPr>
      </w:pPr>
    </w:p>
    <w:p>
      <w:pPr>
        <w:pStyle w:val="ListParagraph"/>
        <w:numPr>
          <w:ilvl w:val="0"/>
          <w:numId w:val="5"/>
        </w:numPr>
        <w:ind w:left="567" w:hanging="567"/>
        <w:jc w:val="both"/>
        <w:rPr>
          <w:rFonts w:ascii="Garamond" w:hAnsi="Garamond"/>
          <w:b/>
        </w:rPr>
      </w:pPr>
      <w:r>
        <w:rPr>
          <w:rFonts w:ascii="Garamond" w:hAnsi="Garamond"/>
          <w:b/>
        </w:rPr>
        <w:t>INVENTIONS AND OTHER INTELLECTUAL PROPERTY</w:t>
      </w:r>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parties acknowledge that the Executive may create or discover Intellectual Property in the course of his/her duties and Services under this Agreement.</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Any Intellectual Property made, created or discovered or registered by the Executive during the Engagement (whether or not made or discovered in the course of this Agreement) in conjunction with or in any way affecting or relating to the business of the Company or any Related Company or capable of being used or adapted for use or exploited shall immediately be disclosed to the Company by the Executive and shall (subject to applicable Law) belong to and be the absolute property of the Company or such Related Company as the Company may direct.</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Executive if and whenever required so to do by the Company (whether during this Agreement or after its termination whatsoever the reason for termination) shall at the expense of the Company or such Related Company as the Company may direct:</w:t>
      </w:r>
    </w:p>
    <w:p>
      <w:pPr>
        <w:pStyle w:val="ListParagraph"/>
        <w:rPr>
          <w:rFonts w:ascii="Garamond" w:hAnsi="Garamond"/>
        </w:rPr>
      </w:pPr>
    </w:p>
    <w:p>
      <w:pPr>
        <w:pStyle w:val="ListParagraph"/>
        <w:numPr>
          <w:ilvl w:val="2"/>
          <w:numId w:val="5"/>
        </w:numPr>
        <w:ind w:left="1985" w:hanging="851"/>
        <w:jc w:val="both"/>
        <w:rPr>
          <w:rFonts w:ascii="Garamond" w:hAnsi="Garamond"/>
        </w:rPr>
      </w:pPr>
      <w:r>
        <w:rPr>
          <w:rFonts w:ascii="Garamond" w:hAnsi="Garamond"/>
        </w:rPr>
        <w:t>apply or join with the Company or such Related Company in applying for any protection or registration in any other part of the world for any such Intellectual Property;</w:t>
      </w:r>
    </w:p>
    <w:p>
      <w:pPr>
        <w:ind w:left="1701" w:hanging="567"/>
        <w:jc w:val="both"/>
        <w:rPr>
          <w:rFonts w:ascii="Garamond" w:hAnsi="Garamond"/>
        </w:rPr>
      </w:pPr>
    </w:p>
    <w:p>
      <w:pPr>
        <w:pStyle w:val="ListParagraph"/>
        <w:numPr>
          <w:ilvl w:val="2"/>
          <w:numId w:val="5"/>
        </w:numPr>
        <w:ind w:left="1985" w:hanging="851"/>
        <w:jc w:val="both"/>
        <w:rPr>
          <w:rFonts w:ascii="Garamond" w:hAnsi="Garamond"/>
        </w:rPr>
      </w:pPr>
      <w:r>
        <w:rPr>
          <w:rFonts w:ascii="Garamond" w:hAnsi="Garamond"/>
        </w:rPr>
        <w:t>execute all instruments and/or documents and do all things necessary to vest (with full title guarantee) all right title and interest to and in the Intellectual Property absolutely in the Company or such Related Company or in any other person as the Company may specify; and/or</w:t>
      </w:r>
    </w:p>
    <w:p>
      <w:pPr>
        <w:pStyle w:val="ListParagraph"/>
        <w:ind w:left="1985" w:hanging="851"/>
        <w:rPr>
          <w:rFonts w:ascii="Garamond" w:hAnsi="Garamond"/>
        </w:rPr>
      </w:pPr>
    </w:p>
    <w:p>
      <w:pPr>
        <w:pStyle w:val="ListParagraph"/>
        <w:numPr>
          <w:ilvl w:val="2"/>
          <w:numId w:val="5"/>
        </w:numPr>
        <w:ind w:left="1985" w:hanging="851"/>
        <w:jc w:val="both"/>
        <w:rPr>
          <w:rFonts w:ascii="Garamond" w:hAnsi="Garamond"/>
        </w:rPr>
      </w:pPr>
      <w:r>
        <w:rPr>
          <w:rFonts w:ascii="Garamond" w:hAnsi="Garamond"/>
        </w:rPr>
        <w:t>provide to the Company or such Related Company or any other person as the Company may specify all such assistance, at the Company’s cost, as the Company may request in connection with any proceedings or actions relating to the Intellectual Property.</w:t>
      </w:r>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This clause 9 shall continue in force after the expiry or termination of this Agreement, whatever the reason for termination.</w:t>
      </w:r>
    </w:p>
    <w:p>
      <w:pPr>
        <w:pStyle w:val="ListParagraph"/>
        <w:rPr>
          <w:rFonts w:ascii="Garamond" w:hAnsi="Garamond"/>
        </w:rPr>
      </w:pPr>
    </w:p>
    <w:p>
      <w:pPr>
        <w:pStyle w:val="ListParagraph"/>
        <w:numPr>
          <w:ilvl w:val="0"/>
          <w:numId w:val="5"/>
        </w:numPr>
        <w:jc w:val="both"/>
        <w:rPr>
          <w:rFonts w:ascii="Garamond" w:hAnsi="Garamond"/>
          <w:b/>
        </w:rPr>
      </w:pPr>
      <w:bookmarkStart w:id="9" w:name="_Ref248848276"/>
      <w:r>
        <w:rPr>
          <w:rFonts w:ascii="Garamond" w:hAnsi="Garamond"/>
          <w:b/>
        </w:rPr>
        <w:t>CONFIDENTIALITY</w:t>
      </w:r>
      <w:bookmarkEnd w:id="9"/>
    </w:p>
    <w:p>
      <w:pPr>
        <w:pStyle w:val="ListParagraph"/>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In addition to the definition provided in this Agreement of ‘Confidential Information’, the negotiations relating to, and terms of, this Agreement and the details, process, content and decision of any judicial or arbitral procedure and/or termination circumstances related in any way to this Agreement shall also be regarded as confidential.</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bookmarkStart w:id="10" w:name="_Ref248847393"/>
      <w:r>
        <w:rPr>
          <w:rFonts w:ascii="Garamond" w:hAnsi="Garamond"/>
          <w:lang w:val="en-US"/>
        </w:rPr>
        <w:lastRenderedPageBreak/>
        <w:t xml:space="preserve">Each Party shall keep secret and confidential all Confidential Information of the other and shall not (and shall procure that its employees and/or officers shall not) copy, use or disclose any such information to any third party, </w:t>
      </w:r>
      <w:r>
        <w:rPr>
          <w:rFonts w:ascii="Garamond" w:hAnsi="Garamond"/>
        </w:rPr>
        <w:t>without the prior consent in writing of the</w:t>
      </w:r>
      <w:r>
        <w:rPr>
          <w:rFonts w:ascii="Garamond" w:hAnsi="Garamond"/>
          <w:lang w:val="en-US"/>
        </w:rPr>
        <w:t xml:space="preserve"> Discloser, other than as may be necessary to comply with its obligations under this Agreement </w:t>
      </w:r>
      <w:r>
        <w:rPr>
          <w:rFonts w:ascii="Garamond" w:hAnsi="Garamond"/>
        </w:rPr>
        <w:t>and only then, provided that the Recipient shall ensure to keep such Confidential Information confidential.</w:t>
      </w:r>
      <w:bookmarkEnd w:id="10"/>
    </w:p>
    <w:p>
      <w:pPr>
        <w:ind w:left="1134" w:hanging="567"/>
        <w:jc w:val="both"/>
        <w:rPr>
          <w:rFonts w:ascii="Garamond" w:hAnsi="Garamond"/>
        </w:rPr>
      </w:pPr>
    </w:p>
    <w:p>
      <w:pPr>
        <w:pStyle w:val="ListParagraph"/>
        <w:numPr>
          <w:ilvl w:val="1"/>
          <w:numId w:val="5"/>
        </w:numPr>
        <w:ind w:left="1134" w:hanging="567"/>
        <w:jc w:val="both"/>
        <w:rPr>
          <w:rFonts w:ascii="Garamond" w:hAnsi="Garamond"/>
        </w:rPr>
      </w:pPr>
      <w:bookmarkStart w:id="11" w:name="_Ref248848233"/>
      <w:r>
        <w:rPr>
          <w:rFonts w:ascii="Garamond" w:hAnsi="Garamond"/>
          <w:lang w:val="en-US"/>
        </w:rPr>
        <w:t>The obligation of confidentiality shall not apply where the Confidential Information:</w:t>
      </w:r>
      <w:bookmarkEnd w:id="11"/>
    </w:p>
    <w:p>
      <w:pPr>
        <w:jc w:val="both"/>
        <w:rPr>
          <w:rFonts w:ascii="Garamond" w:hAnsi="Garamond"/>
        </w:rPr>
      </w:pPr>
    </w:p>
    <w:p>
      <w:pPr>
        <w:pStyle w:val="ListParagraph"/>
        <w:numPr>
          <w:ilvl w:val="2"/>
          <w:numId w:val="5"/>
        </w:numPr>
        <w:ind w:left="1985" w:hanging="851"/>
        <w:jc w:val="both"/>
        <w:rPr>
          <w:rFonts w:ascii="Garamond" w:hAnsi="Garamond"/>
        </w:rPr>
      </w:pPr>
      <w:r>
        <w:rPr>
          <w:rFonts w:ascii="Garamond" w:hAnsi="Garamond"/>
        </w:rPr>
        <w:t>is required to be disclosed by Law, Competent Authority or by the rules of any recognised stock exchange. In this event the Party required to divulge Confidential Information shall immediately notify the Discloser and shall assist, at the Discloser’s cost and as reasonably possible, in exercising any right or action intended to prevent the divulging of Confidential Information;</w:t>
      </w:r>
    </w:p>
    <w:p>
      <w:pPr>
        <w:ind w:left="1985" w:hanging="851"/>
        <w:jc w:val="both"/>
        <w:rPr>
          <w:rFonts w:ascii="Garamond" w:hAnsi="Garamond"/>
        </w:rPr>
      </w:pPr>
    </w:p>
    <w:p>
      <w:pPr>
        <w:pStyle w:val="ListParagraph"/>
        <w:numPr>
          <w:ilvl w:val="2"/>
          <w:numId w:val="5"/>
        </w:numPr>
        <w:ind w:left="1985" w:hanging="851"/>
        <w:jc w:val="both"/>
        <w:rPr>
          <w:rFonts w:ascii="Garamond" w:hAnsi="Garamond"/>
        </w:rPr>
      </w:pPr>
      <w:r>
        <w:rPr>
          <w:rFonts w:ascii="Garamond" w:hAnsi="Garamond"/>
        </w:rPr>
        <w:t>comes within the public domain other than through breach of this clause 10;</w:t>
      </w:r>
    </w:p>
    <w:p>
      <w:pPr>
        <w:ind w:left="1985" w:hanging="851"/>
        <w:jc w:val="both"/>
        <w:rPr>
          <w:rFonts w:ascii="Garamond" w:hAnsi="Garamond"/>
        </w:rPr>
      </w:pPr>
    </w:p>
    <w:p>
      <w:pPr>
        <w:pStyle w:val="ListParagraph"/>
        <w:numPr>
          <w:ilvl w:val="2"/>
          <w:numId w:val="5"/>
        </w:numPr>
        <w:ind w:left="1985" w:hanging="851"/>
        <w:jc w:val="both"/>
        <w:rPr>
          <w:rFonts w:ascii="Garamond" w:hAnsi="Garamond"/>
        </w:rPr>
      </w:pPr>
      <w:r>
        <w:rPr>
          <w:rFonts w:ascii="Garamond" w:hAnsi="Garamond"/>
        </w:rPr>
        <w:t>is disclosed on a confidential basis for the purposes of obtaining professional advice;</w:t>
      </w:r>
    </w:p>
    <w:p>
      <w:pPr>
        <w:ind w:left="1985" w:hanging="851"/>
        <w:jc w:val="both"/>
        <w:rPr>
          <w:rFonts w:ascii="Garamond" w:hAnsi="Garamond"/>
        </w:rPr>
      </w:pPr>
    </w:p>
    <w:p>
      <w:pPr>
        <w:pStyle w:val="ListParagraph"/>
        <w:numPr>
          <w:ilvl w:val="2"/>
          <w:numId w:val="5"/>
        </w:numPr>
        <w:ind w:left="1985" w:hanging="851"/>
        <w:jc w:val="both"/>
        <w:rPr>
          <w:rFonts w:ascii="Garamond" w:hAnsi="Garamond"/>
        </w:rPr>
      </w:pPr>
      <w:r>
        <w:rPr>
          <w:rFonts w:ascii="Garamond" w:hAnsi="Garamond"/>
        </w:rPr>
        <w:t>is known to, or in possession of, the Receiver other than through breach of this clause 10, before the disclosure to it; or</w:t>
      </w:r>
    </w:p>
    <w:p>
      <w:pPr>
        <w:ind w:left="1985" w:hanging="851"/>
        <w:jc w:val="both"/>
        <w:rPr>
          <w:rFonts w:ascii="Garamond" w:hAnsi="Garamond"/>
        </w:rPr>
      </w:pPr>
    </w:p>
    <w:p>
      <w:pPr>
        <w:pStyle w:val="ListParagraph"/>
        <w:numPr>
          <w:ilvl w:val="2"/>
          <w:numId w:val="5"/>
        </w:numPr>
        <w:ind w:left="1985" w:hanging="851"/>
        <w:jc w:val="both"/>
        <w:rPr>
          <w:rFonts w:ascii="Garamond" w:hAnsi="Garamond"/>
        </w:rPr>
      </w:pPr>
      <w:r>
        <w:rPr>
          <w:rFonts w:ascii="Garamond" w:hAnsi="Garamond"/>
        </w:rPr>
        <w:t>is disclosed with the respective Party’s prior written approval to the disclosure.</w:t>
      </w:r>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Where Confidential Information is disclosed to a third party in reliance on any of the exceptions referred to in this clause 10, the disclosing Party shall remain responsible for subsequent disclosure by any recipient, as if any such disclosure were made by the Discloser and not the Recipient.</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This clause 10 shall continue in force after the expiry or termination of this Agreement, whatever the reason for termination.</w:t>
      </w:r>
    </w:p>
    <w:p>
      <w:pPr>
        <w:jc w:val="both"/>
        <w:rPr>
          <w:rFonts w:ascii="Garamond" w:hAnsi="Garamond"/>
        </w:rPr>
      </w:pPr>
    </w:p>
    <w:p>
      <w:pPr>
        <w:pStyle w:val="ListParagraph"/>
        <w:numPr>
          <w:ilvl w:val="0"/>
          <w:numId w:val="5"/>
        </w:numPr>
        <w:jc w:val="both"/>
        <w:rPr>
          <w:rFonts w:ascii="Garamond" w:hAnsi="Garamond"/>
          <w:b/>
        </w:rPr>
      </w:pPr>
      <w:r>
        <w:rPr>
          <w:rFonts w:ascii="Garamond" w:hAnsi="Garamond"/>
          <w:b/>
        </w:rPr>
        <w:t>DATA PROTECTION</w:t>
      </w:r>
    </w:p>
    <w:p>
      <w:pPr>
        <w:pStyle w:val="ListParagraph"/>
        <w:ind w:left="360"/>
        <w:jc w:val="both"/>
        <w:rPr>
          <w:rFonts w:ascii="Garamond" w:hAnsi="Garamond"/>
          <w:b/>
        </w:rPr>
      </w:pPr>
    </w:p>
    <w:p>
      <w:pPr>
        <w:pStyle w:val="ListParagraph"/>
        <w:numPr>
          <w:ilvl w:val="1"/>
          <w:numId w:val="5"/>
        </w:numPr>
        <w:ind w:left="1170" w:hanging="630"/>
        <w:jc w:val="both"/>
        <w:rPr>
          <w:rFonts w:ascii="Garamond" w:hAnsi="Garamond"/>
        </w:rPr>
      </w:pPr>
      <w:bookmarkStart w:id="12" w:name="_Toc88973035"/>
      <w:r>
        <w:rPr>
          <w:rFonts w:ascii="Garamond" w:hAnsi="Garamond"/>
          <w:lang w:val="en-GB"/>
        </w:rPr>
        <w:t xml:space="preserve">Personal Data relating to the Executive and to the Executive’s employment with the Company will only be processed by the Company in accordance with the principles of the applicable data protection legislation including </w:t>
      </w:r>
      <w:bookmarkEnd w:id="12"/>
      <w:r>
        <w:rPr>
          <w:rFonts w:ascii="Garamond" w:hAnsi="Garamond"/>
          <w:lang w:val="en-GB"/>
        </w:rPr>
        <w:t>the PDPO.</w:t>
      </w:r>
    </w:p>
    <w:p>
      <w:pPr>
        <w:ind w:left="360"/>
        <w:jc w:val="both"/>
        <w:rPr>
          <w:rFonts w:ascii="Garamond" w:hAnsi="Garamond"/>
        </w:rPr>
      </w:pPr>
    </w:p>
    <w:p>
      <w:pPr>
        <w:pStyle w:val="ListParagraph"/>
        <w:numPr>
          <w:ilvl w:val="1"/>
          <w:numId w:val="5"/>
        </w:numPr>
        <w:ind w:left="1170" w:hanging="630"/>
        <w:jc w:val="both"/>
        <w:rPr>
          <w:rFonts w:ascii="Garamond" w:hAnsi="Garamond"/>
        </w:rPr>
      </w:pPr>
      <w:bookmarkStart w:id="13" w:name="_Toc88973036"/>
      <w:bookmarkStart w:id="14" w:name="_Ref156720711"/>
      <w:r>
        <w:rPr>
          <w:rFonts w:ascii="Garamond" w:hAnsi="Garamond"/>
          <w:lang w:val="en-GB"/>
        </w:rPr>
        <w:t>Personal Data relating to the Executive will only be used by the Company to fulfil its obligations to the Executive under this Agreement and/or for other purposes relating to, or which may become related to the Executive’s relationship with the Company or a Related Company.  Such processing will principally be for personnel, administrative, financial, and regulatory or payroll purposes</w:t>
      </w:r>
      <w:bookmarkEnd w:id="13"/>
      <w:bookmarkEnd w:id="14"/>
      <w:r>
        <w:rPr>
          <w:rFonts w:ascii="Garamond" w:hAnsi="Garamond"/>
          <w:lang w:val="en-GB"/>
        </w:rPr>
        <w:t>.</w:t>
      </w:r>
    </w:p>
    <w:p>
      <w:pPr>
        <w:ind w:left="1440" w:hanging="900"/>
        <w:jc w:val="both"/>
        <w:rPr>
          <w:rFonts w:ascii="Garamond" w:hAnsi="Garamond"/>
        </w:rPr>
      </w:pPr>
    </w:p>
    <w:p>
      <w:pPr>
        <w:pStyle w:val="ListParagraph"/>
        <w:numPr>
          <w:ilvl w:val="1"/>
          <w:numId w:val="5"/>
        </w:numPr>
        <w:ind w:left="1170" w:hanging="810"/>
        <w:jc w:val="both"/>
        <w:rPr>
          <w:rFonts w:ascii="Garamond" w:hAnsi="Garamond"/>
        </w:rPr>
      </w:pPr>
      <w:r>
        <w:rPr>
          <w:rFonts w:ascii="Garamond" w:hAnsi="Garamond"/>
          <w:lang w:val="en-GB"/>
        </w:rPr>
        <w:t>The Executive agrees that Personal Data relating to the Executive or to the Executive’s relationship with the Company may to the extent that is reasonably necessary in connection with the Executive’s engagement herein or the business of the Company or any Related Company be:</w:t>
      </w:r>
    </w:p>
    <w:p>
      <w:pPr>
        <w:jc w:val="both"/>
        <w:rPr>
          <w:rFonts w:ascii="Garamond" w:hAnsi="Garamond"/>
        </w:rPr>
      </w:pPr>
    </w:p>
    <w:p>
      <w:pPr>
        <w:pStyle w:val="ListParagraph"/>
        <w:numPr>
          <w:ilvl w:val="2"/>
          <w:numId w:val="5"/>
        </w:numPr>
        <w:ind w:left="2160" w:hanging="990"/>
        <w:jc w:val="both"/>
        <w:rPr>
          <w:rFonts w:ascii="Garamond" w:hAnsi="Garamond"/>
        </w:rPr>
      </w:pPr>
      <w:r>
        <w:rPr>
          <w:rFonts w:ascii="Garamond" w:hAnsi="Garamond"/>
          <w:lang w:val="en-GB"/>
        </w:rPr>
        <w:t>collected and held (whether in hard copy or in computer readable form) and processed by the Company or a Related Company;</w:t>
      </w:r>
    </w:p>
    <w:p>
      <w:pPr>
        <w:ind w:left="720" w:hanging="54"/>
        <w:jc w:val="both"/>
        <w:rPr>
          <w:rFonts w:ascii="Garamond" w:hAnsi="Garamond"/>
        </w:rPr>
      </w:pPr>
    </w:p>
    <w:p>
      <w:pPr>
        <w:pStyle w:val="ListParagraph"/>
        <w:numPr>
          <w:ilvl w:val="2"/>
          <w:numId w:val="5"/>
        </w:numPr>
        <w:ind w:left="2160" w:hanging="990"/>
        <w:jc w:val="both"/>
        <w:rPr>
          <w:rFonts w:ascii="Garamond" w:hAnsi="Garamond"/>
        </w:rPr>
      </w:pPr>
      <w:r>
        <w:rPr>
          <w:rFonts w:ascii="Garamond" w:hAnsi="Garamond"/>
          <w:lang w:val="en-GB"/>
        </w:rPr>
        <w:t>disclosed or transferred to any Related Company and/or its directors, officers, employees, agents or representatives;</w:t>
      </w:r>
    </w:p>
    <w:p>
      <w:pPr>
        <w:ind w:hanging="54"/>
        <w:jc w:val="both"/>
        <w:rPr>
          <w:rFonts w:ascii="Garamond" w:hAnsi="Garamond"/>
        </w:rPr>
      </w:pPr>
    </w:p>
    <w:p>
      <w:pPr>
        <w:pStyle w:val="ListParagraph"/>
        <w:numPr>
          <w:ilvl w:val="2"/>
          <w:numId w:val="5"/>
        </w:numPr>
        <w:ind w:left="2160" w:hanging="990"/>
        <w:jc w:val="both"/>
        <w:rPr>
          <w:rFonts w:ascii="Garamond" w:hAnsi="Garamond"/>
        </w:rPr>
      </w:pPr>
      <w:bookmarkStart w:id="15" w:name="_Toc88973040"/>
      <w:r>
        <w:rPr>
          <w:rFonts w:ascii="Garamond" w:hAnsi="Garamond"/>
          <w:lang w:val="en-GB"/>
        </w:rPr>
        <w:t>disclosed or transferred to any potential purchaser of the shares or business of the Company or any Related Company for the purpose of due diligence;</w:t>
      </w:r>
      <w:bookmarkEnd w:id="15"/>
      <w:r>
        <w:rPr>
          <w:rFonts w:ascii="Garamond" w:hAnsi="Garamond"/>
          <w:lang w:val="en-GB"/>
        </w:rPr>
        <w:t xml:space="preserve"> or</w:t>
      </w:r>
    </w:p>
    <w:p>
      <w:pPr>
        <w:ind w:hanging="54"/>
        <w:jc w:val="both"/>
        <w:rPr>
          <w:rFonts w:ascii="Garamond" w:hAnsi="Garamond"/>
        </w:rPr>
      </w:pPr>
    </w:p>
    <w:p>
      <w:pPr>
        <w:pStyle w:val="ListParagraph"/>
        <w:numPr>
          <w:ilvl w:val="2"/>
          <w:numId w:val="5"/>
        </w:numPr>
        <w:ind w:left="2160" w:hanging="990"/>
        <w:jc w:val="both"/>
        <w:rPr>
          <w:rFonts w:ascii="Garamond" w:hAnsi="Garamond"/>
        </w:rPr>
      </w:pPr>
      <w:r>
        <w:rPr>
          <w:rFonts w:ascii="Garamond" w:hAnsi="Garamond"/>
          <w:lang w:val="en-GB"/>
        </w:rPr>
        <w:t>disclosed to entities which process data on behalf of the Company in connection with the provision of benefits or services to employees of the Company or to the Company itself.</w:t>
      </w:r>
    </w:p>
    <w:p>
      <w:pPr>
        <w:jc w:val="both"/>
        <w:rPr>
          <w:rFonts w:ascii="Garamond" w:hAnsi="Garamond"/>
        </w:rPr>
      </w:pPr>
    </w:p>
    <w:p>
      <w:pPr>
        <w:pStyle w:val="ListParagraph"/>
        <w:numPr>
          <w:ilvl w:val="1"/>
          <w:numId w:val="5"/>
        </w:numPr>
        <w:tabs>
          <w:tab w:val="left" w:pos="1170"/>
        </w:tabs>
        <w:ind w:left="1170" w:hanging="810"/>
        <w:jc w:val="both"/>
        <w:rPr>
          <w:rFonts w:ascii="Garamond" w:hAnsi="Garamond"/>
        </w:rPr>
      </w:pPr>
      <w:r>
        <w:rPr>
          <w:rFonts w:ascii="Garamond" w:hAnsi="Garamond"/>
          <w:lang w:val="en-GB"/>
        </w:rPr>
        <w:t>By signing this Agreement, the Executive further agrees that the Company may lawfully and fairly process sensitive personal data relating to the Executive for the purposes set out in this clause 11.</w:t>
      </w:r>
    </w:p>
    <w:p>
      <w:pPr>
        <w:jc w:val="both"/>
        <w:rPr>
          <w:rFonts w:ascii="Garamond" w:hAnsi="Garamond"/>
        </w:rPr>
      </w:pPr>
    </w:p>
    <w:p>
      <w:pPr>
        <w:pStyle w:val="ListParagraph"/>
        <w:numPr>
          <w:ilvl w:val="1"/>
          <w:numId w:val="5"/>
        </w:numPr>
        <w:ind w:left="1170" w:hanging="810"/>
        <w:jc w:val="both"/>
        <w:rPr>
          <w:rFonts w:ascii="Garamond" w:hAnsi="Garamond"/>
        </w:rPr>
      </w:pPr>
      <w:bookmarkStart w:id="16" w:name="_Toc88973043"/>
      <w:r>
        <w:rPr>
          <w:rFonts w:ascii="Garamond" w:hAnsi="Garamond"/>
          <w:lang w:val="en-GB"/>
        </w:rPr>
        <w:t>The Executive acknowledges that the Company may transfer Personal Data relating to the Executive across and in various countries and/or jurisdictions for purposes related to the Executive’s relationship with the Company.  By signing this Agreement, the Executive consents to the disclosure of his Personal Data on an international basis.  Where data is transferred outside the jurisdiction of the Company’s headquarters, the Company shall take reasonable steps to ensure that the Executive’s rights and freedoms in relation to the processing of the relevant Personal Data are adequately protected.</w:t>
      </w:r>
      <w:bookmarkEnd w:id="16"/>
    </w:p>
    <w:p>
      <w:pPr>
        <w:jc w:val="both"/>
        <w:rPr>
          <w:rFonts w:ascii="Garamond" w:hAnsi="Garamond"/>
        </w:rPr>
      </w:pPr>
    </w:p>
    <w:p>
      <w:pPr>
        <w:pStyle w:val="ListParagraph"/>
        <w:numPr>
          <w:ilvl w:val="1"/>
          <w:numId w:val="5"/>
        </w:numPr>
        <w:ind w:left="1170" w:hanging="810"/>
        <w:jc w:val="both"/>
        <w:rPr>
          <w:rFonts w:ascii="Garamond" w:hAnsi="Garamond"/>
        </w:rPr>
      </w:pPr>
      <w:r>
        <w:rPr>
          <w:rFonts w:ascii="Garamond" w:hAnsi="Garamond"/>
          <w:lang w:val="en-GB"/>
        </w:rPr>
        <w:t>The Executive is responsible for ensuring that any Confidential Information and Personal Data (whether or not relating to the Executive), which he may use or access during the Executive’s engagement herein is kept secure from, unauthorised access or disclosure. The Executive will comply at all times with any code of conduct or policy issued by the Company in relation to the use and handling of Personal Data, and the Company’s computers and information technology systems.</w:t>
      </w:r>
    </w:p>
    <w:p>
      <w:pPr>
        <w:jc w:val="both"/>
        <w:rPr>
          <w:rFonts w:ascii="Garamond" w:hAnsi="Garamond"/>
        </w:rPr>
      </w:pPr>
    </w:p>
    <w:p>
      <w:pPr>
        <w:pStyle w:val="ListParagraph"/>
        <w:numPr>
          <w:ilvl w:val="1"/>
          <w:numId w:val="5"/>
        </w:numPr>
        <w:ind w:left="1170" w:hanging="810"/>
        <w:jc w:val="both"/>
        <w:rPr>
          <w:rFonts w:ascii="Garamond" w:hAnsi="Garamond"/>
        </w:rPr>
      </w:pPr>
      <w:r>
        <w:rPr>
          <w:rFonts w:ascii="Garamond" w:hAnsi="Garamond"/>
          <w:lang w:val="en-GB"/>
        </w:rPr>
        <w:t>The Executive agrees to notify the Board of Directors of any actual or suspected breach of the requirements set out in this clause 11 which comes to the Executive’s attention.</w:t>
      </w:r>
    </w:p>
    <w:p>
      <w:pPr>
        <w:jc w:val="both"/>
        <w:rPr>
          <w:rFonts w:ascii="Garamond" w:hAnsi="Garamond"/>
        </w:rPr>
      </w:pPr>
    </w:p>
    <w:p>
      <w:pPr>
        <w:pStyle w:val="ListParagraph"/>
        <w:numPr>
          <w:ilvl w:val="1"/>
          <w:numId w:val="5"/>
        </w:numPr>
        <w:ind w:left="1170" w:hanging="810"/>
        <w:jc w:val="both"/>
        <w:rPr>
          <w:rFonts w:ascii="Garamond" w:hAnsi="Garamond"/>
        </w:rPr>
      </w:pPr>
      <w:bookmarkStart w:id="17" w:name="_Toc88973047"/>
      <w:bookmarkStart w:id="18" w:name="_Ref38973914"/>
      <w:r>
        <w:rPr>
          <w:rFonts w:ascii="Garamond" w:hAnsi="Garamond"/>
          <w:lang w:val="en-GB"/>
        </w:rPr>
        <w:t xml:space="preserve">The Company will take all reasonable steps to ensure that Personal Data held about the Executive is complete, accurate, up to date and not held for any longer than necessary for the purposes for which it was collected.  However, the Executive is responsible for the truthfulness and accurateness of Personal Data about the Executive and for informing the Board of any </w:t>
      </w:r>
      <w:r>
        <w:rPr>
          <w:rFonts w:ascii="Garamond" w:hAnsi="Garamond"/>
          <w:lang w:val="en-GB"/>
        </w:rPr>
        <w:lastRenderedPageBreak/>
        <w:t>changes to the Executive’s Personal Data, including, but not limited to, name, address, marital status, contact details, qualifications and next of kin.</w:t>
      </w:r>
      <w:bookmarkEnd w:id="17"/>
      <w:bookmarkEnd w:id="18"/>
    </w:p>
    <w:p>
      <w:pPr>
        <w:jc w:val="both"/>
        <w:rPr>
          <w:rFonts w:ascii="Garamond" w:hAnsi="Garamond"/>
        </w:rPr>
      </w:pPr>
    </w:p>
    <w:p>
      <w:pPr>
        <w:pStyle w:val="ListParagraph"/>
        <w:numPr>
          <w:ilvl w:val="0"/>
          <w:numId w:val="5"/>
        </w:numPr>
        <w:jc w:val="both"/>
        <w:rPr>
          <w:rFonts w:ascii="Garamond" w:hAnsi="Garamond"/>
          <w:b/>
        </w:rPr>
      </w:pPr>
      <w:r>
        <w:rPr>
          <w:rFonts w:ascii="Garamond" w:hAnsi="Garamond"/>
          <w:b/>
        </w:rPr>
        <w:t>FORCE MAJEURE</w:t>
      </w:r>
    </w:p>
    <w:p>
      <w:pPr>
        <w:jc w:val="both"/>
        <w:rPr>
          <w:rFonts w:ascii="Garamond" w:hAnsi="Garamond"/>
        </w:rPr>
      </w:pPr>
    </w:p>
    <w:p>
      <w:pPr>
        <w:pStyle w:val="ListParagraph"/>
        <w:numPr>
          <w:ilvl w:val="1"/>
          <w:numId w:val="5"/>
        </w:numPr>
        <w:ind w:left="1134" w:hanging="567"/>
        <w:jc w:val="both"/>
        <w:rPr>
          <w:rFonts w:ascii="Garamond" w:hAnsi="Garamond"/>
        </w:rPr>
      </w:pPr>
      <w:bookmarkStart w:id="19" w:name="_Ref248851937"/>
      <w:r>
        <w:rPr>
          <w:rFonts w:ascii="Garamond" w:hAnsi="Garamond"/>
        </w:rPr>
        <w:t>If any Party becomes unable, wholly or in part, by Force Majeure to carry out any of its duties or obligations under this Agreement, that Party must give written notice to the other Parties with the detailed particulars of the Force Majeure event and specific duties and obligations affected and so far as it is known, an indication of when the Force Majeure event will cease and performance of duties and obligations under this Agreement may be restored to normal.</w:t>
      </w:r>
      <w:bookmarkEnd w:id="19"/>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relevant duty or obligation, so far as it is affected by the Force Majeure, will be suspended during the continuance of the Force Majeure. The Party whose performance of duties is affected by the Force Majeure event must use all reasonable efforts to overcome or remove the Force Majeure as quickly as possible. During the period that the Force Majeure event persists, the Party whose performance of duties is affected by the Force Majeure is not obligated to settle any disputes (including labour disputes) on terms contrary to its wishes or to contest the validity or enforceability of any Licence, Authorisation or regulation by Competent Authority or Law.</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 xml:space="preserve">If after a period of six (6) months after notice is given pursuant to clause </w:t>
      </w:r>
      <w:r>
        <w:fldChar w:fldCharType="begin"/>
      </w:r>
      <w:r>
        <w:instrText xml:space="preserve"> REF _Ref248851937 \r \h  \* MERGEFORMAT </w:instrText>
      </w:r>
      <w:r>
        <w:fldChar w:fldCharType="separate"/>
      </w:r>
      <w:r>
        <w:rPr>
          <w:rFonts w:ascii="Garamond" w:hAnsi="Garamond"/>
        </w:rPr>
        <w:t>12.1</w:t>
      </w:r>
      <w:r>
        <w:fldChar w:fldCharType="end"/>
      </w:r>
      <w:r>
        <w:rPr>
          <w:rFonts w:ascii="Garamond" w:hAnsi="Garamond"/>
        </w:rPr>
        <w:t xml:space="preserve"> of a Force Majeure event, the specific Force Majeure event as to which the notice refers to persists, the other Parties will have the right to terminate this Agreement on giving one (1) month prior written notice of its intention to terminate to the Party whose performance of duties is affected by the Force Majeure.</w:t>
      </w:r>
    </w:p>
    <w:p>
      <w:pPr>
        <w:jc w:val="both"/>
        <w:rPr>
          <w:rFonts w:ascii="Garamond" w:hAnsi="Garamond"/>
        </w:rPr>
      </w:pPr>
    </w:p>
    <w:p>
      <w:pPr>
        <w:pStyle w:val="ListParagraph"/>
        <w:numPr>
          <w:ilvl w:val="0"/>
          <w:numId w:val="5"/>
        </w:numPr>
        <w:jc w:val="both"/>
        <w:rPr>
          <w:rFonts w:ascii="Garamond" w:hAnsi="Garamond"/>
          <w:b/>
        </w:rPr>
      </w:pPr>
      <w:r>
        <w:rPr>
          <w:rFonts w:ascii="Garamond" w:hAnsi="Garamond"/>
          <w:b/>
        </w:rPr>
        <w:t>NOTICES</w:t>
      </w:r>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Notices between the Parties relating to this Agreement must be in writing, in the English language and sent by a Permitted Method to the Notified Address.</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 xml:space="preserve">Notices given to the Notified Address will be deemed received through the Permitted Method as indicated in column 2 of clause </w:t>
      </w:r>
      <w:r>
        <w:fldChar w:fldCharType="begin"/>
      </w:r>
      <w:r>
        <w:instrText xml:space="preserve"> REF _Ref249033280 \r \h  \* MERGEFORMAT </w:instrText>
      </w:r>
      <w:r>
        <w:fldChar w:fldCharType="separate"/>
      </w:r>
      <w:r>
        <w:rPr>
          <w:rFonts w:ascii="Garamond" w:hAnsi="Garamond"/>
        </w:rPr>
        <w:t>13.3</w:t>
      </w:r>
      <w:r>
        <w:fldChar w:fldCharType="end"/>
      </w:r>
      <w:r>
        <w:rPr>
          <w:rFonts w:ascii="Garamond" w:hAnsi="Garamond"/>
        </w:rPr>
        <w:t xml:space="preserve"> for each respective Permitted Method.</w:t>
      </w:r>
    </w:p>
    <w:p>
      <w:pPr>
        <w:ind w:left="1134" w:hanging="567"/>
        <w:jc w:val="both"/>
        <w:rPr>
          <w:rFonts w:ascii="Garamond" w:hAnsi="Garamond"/>
        </w:rPr>
      </w:pPr>
    </w:p>
    <w:p>
      <w:pPr>
        <w:pStyle w:val="ListParagraph"/>
        <w:numPr>
          <w:ilvl w:val="1"/>
          <w:numId w:val="5"/>
        </w:numPr>
        <w:ind w:left="1134" w:hanging="567"/>
        <w:jc w:val="both"/>
        <w:rPr>
          <w:rFonts w:ascii="Garamond" w:hAnsi="Garamond"/>
        </w:rPr>
      </w:pPr>
      <w:bookmarkStart w:id="20" w:name="_Ref249033280"/>
      <w:r>
        <w:rPr>
          <w:rFonts w:ascii="Garamond" w:hAnsi="Garamond"/>
        </w:rPr>
        <w:t>Permitted Method means any of the methods set out in column 1 below:</w:t>
      </w:r>
      <w:bookmarkEnd w:id="20"/>
    </w:p>
    <w:p>
      <w:pPr>
        <w:jc w:val="both"/>
        <w:rPr>
          <w:rFonts w:ascii="Garamond" w:hAnsi="Garamond"/>
        </w:rPr>
      </w:pPr>
    </w:p>
    <w:tbl>
      <w:tblPr>
        <w:tblStyle w:val="TableGrid"/>
        <w:tblW w:w="7797" w:type="dxa"/>
        <w:tblInd w:w="1129" w:type="dxa"/>
        <w:tblLook w:val="04A0" w:firstRow="1" w:lastRow="0" w:firstColumn="1" w:lastColumn="0" w:noHBand="0" w:noVBand="1"/>
      </w:tblPr>
      <w:tblGrid>
        <w:gridCol w:w="3969"/>
        <w:gridCol w:w="3828"/>
      </w:tblGrid>
      <w:tr>
        <w:tc>
          <w:tcPr>
            <w:tcW w:w="3969" w:type="dxa"/>
          </w:tcPr>
          <w:p>
            <w:pPr>
              <w:jc w:val="both"/>
              <w:rPr>
                <w:rFonts w:ascii="Garamond" w:hAnsi="Garamond"/>
              </w:rPr>
            </w:pPr>
            <w:r>
              <w:rPr>
                <w:rFonts w:ascii="Garamond" w:hAnsi="Garamond"/>
              </w:rPr>
              <w:t>Column 1: Permitted Method</w:t>
            </w:r>
          </w:p>
        </w:tc>
        <w:tc>
          <w:tcPr>
            <w:tcW w:w="3828" w:type="dxa"/>
          </w:tcPr>
          <w:p>
            <w:pPr>
              <w:jc w:val="both"/>
              <w:rPr>
                <w:rFonts w:ascii="Garamond" w:hAnsi="Garamond"/>
              </w:rPr>
            </w:pPr>
            <w:r>
              <w:rPr>
                <w:rFonts w:ascii="Garamond" w:hAnsi="Garamond"/>
              </w:rPr>
              <w:t>Column 2: Date on Which Notice is Deemed Given</w:t>
            </w:r>
          </w:p>
        </w:tc>
      </w:tr>
      <w:tr>
        <w:tc>
          <w:tcPr>
            <w:tcW w:w="3969" w:type="dxa"/>
          </w:tcPr>
          <w:p>
            <w:pPr>
              <w:jc w:val="both"/>
              <w:rPr>
                <w:rFonts w:ascii="Garamond" w:hAnsi="Garamond"/>
              </w:rPr>
            </w:pPr>
            <w:r>
              <w:rPr>
                <w:rFonts w:ascii="Garamond" w:hAnsi="Garamond"/>
              </w:rPr>
              <w:t>Personal Delivery</w:t>
            </w:r>
          </w:p>
        </w:tc>
        <w:tc>
          <w:tcPr>
            <w:tcW w:w="3828" w:type="dxa"/>
          </w:tcPr>
          <w:p>
            <w:pPr>
              <w:jc w:val="both"/>
              <w:rPr>
                <w:rFonts w:ascii="Garamond" w:hAnsi="Garamond"/>
              </w:rPr>
            </w:pPr>
            <w:r>
              <w:rPr>
                <w:rFonts w:ascii="Garamond" w:hAnsi="Garamond"/>
              </w:rPr>
              <w:t>If delivered at the Notified Address before 1700 hours on a Business Day, when left and otherwise on the next Business Day.</w:t>
            </w:r>
          </w:p>
        </w:tc>
      </w:tr>
      <w:tr>
        <w:tc>
          <w:tcPr>
            <w:tcW w:w="3969" w:type="dxa"/>
          </w:tcPr>
          <w:p>
            <w:pPr>
              <w:jc w:val="both"/>
              <w:rPr>
                <w:rFonts w:ascii="Garamond" w:hAnsi="Garamond"/>
              </w:rPr>
            </w:pPr>
            <w:r>
              <w:rPr>
                <w:rFonts w:ascii="Garamond" w:hAnsi="Garamond"/>
              </w:rPr>
              <w:t>Courier Delivery</w:t>
            </w:r>
          </w:p>
        </w:tc>
        <w:tc>
          <w:tcPr>
            <w:tcW w:w="3828" w:type="dxa"/>
          </w:tcPr>
          <w:p>
            <w:pPr>
              <w:jc w:val="both"/>
              <w:rPr>
                <w:rFonts w:ascii="Garamond" w:hAnsi="Garamond"/>
              </w:rPr>
            </w:pPr>
            <w:r>
              <w:rPr>
                <w:rFonts w:ascii="Garamond" w:hAnsi="Garamond"/>
              </w:rPr>
              <w:t xml:space="preserve">If delivered at the Notified Address before 1700 hours on a Business Day, when left and otherwise on the next </w:t>
            </w:r>
            <w:r>
              <w:rPr>
                <w:rFonts w:ascii="Garamond" w:hAnsi="Garamond"/>
              </w:rPr>
              <w:lastRenderedPageBreak/>
              <w:t>Business Day.</w:t>
            </w:r>
          </w:p>
        </w:tc>
      </w:tr>
      <w:tr>
        <w:tc>
          <w:tcPr>
            <w:tcW w:w="3969" w:type="dxa"/>
          </w:tcPr>
          <w:p>
            <w:pPr>
              <w:jc w:val="both"/>
              <w:rPr>
                <w:rFonts w:ascii="Garamond" w:hAnsi="Garamond"/>
              </w:rPr>
            </w:pPr>
            <w:r>
              <w:rPr>
                <w:rFonts w:ascii="Garamond" w:hAnsi="Garamond"/>
              </w:rPr>
              <w:lastRenderedPageBreak/>
              <w:t>First Class, Pre-paid, Air, International Registered, or Registered Post</w:t>
            </w:r>
          </w:p>
        </w:tc>
        <w:tc>
          <w:tcPr>
            <w:tcW w:w="3828" w:type="dxa"/>
          </w:tcPr>
          <w:p>
            <w:pPr>
              <w:jc w:val="both"/>
              <w:rPr>
                <w:rFonts w:ascii="Garamond" w:hAnsi="Garamond"/>
              </w:rPr>
            </w:pPr>
            <w:r>
              <w:rPr>
                <w:rFonts w:ascii="Garamond" w:hAnsi="Garamond"/>
              </w:rPr>
              <w:t>Six (6) Business Days after posting.</w:t>
            </w:r>
          </w:p>
        </w:tc>
      </w:tr>
      <w:tr>
        <w:tc>
          <w:tcPr>
            <w:tcW w:w="3969" w:type="dxa"/>
          </w:tcPr>
          <w:p>
            <w:pPr>
              <w:jc w:val="both"/>
              <w:rPr>
                <w:rFonts w:ascii="Garamond" w:hAnsi="Garamond"/>
              </w:rPr>
            </w:pPr>
            <w:r>
              <w:rPr>
                <w:rFonts w:ascii="Garamond" w:hAnsi="Garamond"/>
              </w:rPr>
              <w:t>Regular Post</w:t>
            </w:r>
          </w:p>
        </w:tc>
        <w:tc>
          <w:tcPr>
            <w:tcW w:w="3828" w:type="dxa"/>
          </w:tcPr>
          <w:p>
            <w:pPr>
              <w:jc w:val="both"/>
              <w:rPr>
                <w:rFonts w:ascii="Garamond" w:hAnsi="Garamond"/>
              </w:rPr>
            </w:pPr>
            <w:r>
              <w:rPr>
                <w:rFonts w:ascii="Garamond" w:hAnsi="Garamond"/>
              </w:rPr>
              <w:t>Nine (9) Business Days after posting.</w:t>
            </w:r>
          </w:p>
        </w:tc>
      </w:tr>
      <w:tr>
        <w:tc>
          <w:tcPr>
            <w:tcW w:w="3969" w:type="dxa"/>
          </w:tcPr>
          <w:p>
            <w:pPr>
              <w:jc w:val="both"/>
              <w:rPr>
                <w:rFonts w:ascii="Garamond" w:hAnsi="Garamond"/>
              </w:rPr>
            </w:pPr>
            <w:r>
              <w:rPr>
                <w:rFonts w:ascii="Garamond" w:hAnsi="Garamond"/>
              </w:rPr>
              <w:t>Fax Transmission</w:t>
            </w:r>
          </w:p>
        </w:tc>
        <w:tc>
          <w:tcPr>
            <w:tcW w:w="3828" w:type="dxa"/>
          </w:tcPr>
          <w:p>
            <w:pPr>
              <w:jc w:val="both"/>
              <w:rPr>
                <w:rFonts w:ascii="Garamond" w:hAnsi="Garamond"/>
              </w:rPr>
            </w:pPr>
            <w:r>
              <w:rPr>
                <w:rFonts w:ascii="Garamond" w:hAnsi="Garamond"/>
              </w:rPr>
              <w:t>On confirmed completion of transmission if before 1700 hours on a Business Day and otherwise on the next Business Day.</w:t>
            </w:r>
          </w:p>
        </w:tc>
      </w:tr>
      <w:tr>
        <w:tc>
          <w:tcPr>
            <w:tcW w:w="3969" w:type="dxa"/>
          </w:tcPr>
          <w:p>
            <w:pPr>
              <w:jc w:val="both"/>
              <w:rPr>
                <w:rFonts w:ascii="Garamond" w:hAnsi="Garamond"/>
              </w:rPr>
            </w:pPr>
            <w:r>
              <w:rPr>
                <w:rFonts w:ascii="Garamond" w:hAnsi="Garamond"/>
              </w:rPr>
              <w:t>Electronic Mail</w:t>
            </w:r>
          </w:p>
        </w:tc>
        <w:tc>
          <w:tcPr>
            <w:tcW w:w="3828" w:type="dxa"/>
          </w:tcPr>
          <w:p>
            <w:pPr>
              <w:jc w:val="both"/>
              <w:rPr>
                <w:rFonts w:ascii="Garamond" w:hAnsi="Garamond"/>
              </w:rPr>
            </w:pPr>
            <w:r>
              <w:rPr>
                <w:rFonts w:ascii="Garamond" w:hAnsi="Garamond"/>
              </w:rPr>
              <w:t>On dispatch from the sender’s mail box without any error notices.</w:t>
            </w:r>
          </w:p>
        </w:tc>
      </w:tr>
    </w:tbl>
    <w:p>
      <w:pPr>
        <w:jc w:val="both"/>
        <w:rPr>
          <w:rFonts w:ascii="Garamond" w:hAnsi="Garamond"/>
        </w:rPr>
      </w:pPr>
    </w:p>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Notified Address for each Party is:</w:t>
      </w:r>
    </w:p>
    <w:p>
      <w:pPr>
        <w:jc w:val="both"/>
        <w:rPr>
          <w:rFonts w:ascii="Garamond" w:hAnsi="Garamond"/>
        </w:rPr>
      </w:pPr>
    </w:p>
    <w:p>
      <w:pPr>
        <w:pStyle w:val="ListParagraph"/>
        <w:numPr>
          <w:ilvl w:val="2"/>
          <w:numId w:val="5"/>
        </w:numPr>
        <w:ind w:left="1701" w:hanging="567"/>
        <w:jc w:val="both"/>
        <w:rPr>
          <w:rFonts w:ascii="Garamond" w:hAnsi="Garamond"/>
        </w:rPr>
      </w:pPr>
      <w:r>
        <w:rPr>
          <w:rFonts w:ascii="Garamond" w:hAnsi="Garamond"/>
        </w:rPr>
        <w:t>Company:</w:t>
      </w:r>
    </w:p>
    <w:p>
      <w:pPr>
        <w:jc w:val="both"/>
        <w:rPr>
          <w:rFonts w:ascii="Garamond" w:hAnsi="Garamond"/>
        </w:rPr>
      </w:pPr>
    </w:p>
    <w:tbl>
      <w:tblPr>
        <w:tblStyle w:val="TableGrid"/>
        <w:tblW w:w="0" w:type="auto"/>
        <w:tblInd w:w="1129" w:type="dxa"/>
        <w:tblLook w:val="04A0" w:firstRow="1" w:lastRow="0" w:firstColumn="1" w:lastColumn="0" w:noHBand="0" w:noVBand="1"/>
      </w:tblPr>
      <w:tblGrid>
        <w:gridCol w:w="1843"/>
        <w:gridCol w:w="5318"/>
      </w:tblGrid>
      <w:tr>
        <w:tc>
          <w:tcPr>
            <w:tcW w:w="1843" w:type="dxa"/>
          </w:tcPr>
          <w:p>
            <w:pPr>
              <w:jc w:val="both"/>
              <w:rPr>
                <w:rFonts w:ascii="Garamond" w:hAnsi="Garamond"/>
              </w:rPr>
            </w:pPr>
            <w:r>
              <w:rPr>
                <w:rFonts w:ascii="Garamond" w:hAnsi="Garamond"/>
              </w:rPr>
              <w:t>Electronic Mail:</w:t>
            </w:r>
          </w:p>
        </w:tc>
        <w:tc>
          <w:tcPr>
            <w:tcW w:w="5318" w:type="dxa"/>
          </w:tcPr>
          <w:p>
            <w:pPr>
              <w:jc w:val="both"/>
              <w:rPr>
                <w:rFonts w:ascii="Garamond" w:hAnsi="Garamond"/>
              </w:rPr>
            </w:pPr>
            <w:hyperlink r:id="rId9" w:history="1">
              <w:r>
                <w:rPr>
                  <w:rStyle w:val="Hyperlink"/>
                  <w:rFonts w:ascii="Garamond" w:hAnsi="Garamond"/>
                  <w:highlight w:val="yellow"/>
                </w:rPr>
                <w:t>info@style.me</w:t>
              </w:r>
            </w:hyperlink>
            <w:r>
              <w:rPr>
                <w:rFonts w:ascii="Garamond" w:hAnsi="Garamond"/>
              </w:rPr>
              <w:t xml:space="preserve"> </w:t>
            </w:r>
            <w:r>
              <w:rPr>
                <w:rFonts w:ascii="Garamond" w:hAnsi="Garamond"/>
                <w:b/>
              </w:rPr>
              <w:t>[DMS: client to confirm that this is correct]</w:t>
            </w:r>
          </w:p>
        </w:tc>
      </w:tr>
    </w:tbl>
    <w:p>
      <w:pPr>
        <w:jc w:val="both"/>
        <w:rPr>
          <w:rFonts w:ascii="Garamond" w:hAnsi="Garamond"/>
        </w:rPr>
      </w:pPr>
    </w:p>
    <w:p>
      <w:pPr>
        <w:pStyle w:val="ListParagraph"/>
        <w:numPr>
          <w:ilvl w:val="2"/>
          <w:numId w:val="5"/>
        </w:numPr>
        <w:ind w:left="1701"/>
        <w:jc w:val="both"/>
        <w:rPr>
          <w:rFonts w:ascii="Garamond" w:hAnsi="Garamond"/>
        </w:rPr>
      </w:pPr>
      <w:r>
        <w:rPr>
          <w:rFonts w:ascii="Garamond" w:hAnsi="Garamond"/>
        </w:rPr>
        <w:t>Executive:</w:t>
      </w:r>
    </w:p>
    <w:p>
      <w:pPr>
        <w:jc w:val="both"/>
        <w:rPr>
          <w:rFonts w:ascii="Garamond" w:hAnsi="Garamond"/>
        </w:rPr>
      </w:pPr>
    </w:p>
    <w:tbl>
      <w:tblPr>
        <w:tblStyle w:val="TableGrid"/>
        <w:tblW w:w="0" w:type="auto"/>
        <w:tblInd w:w="1129" w:type="dxa"/>
        <w:tblLook w:val="04A0" w:firstRow="1" w:lastRow="0" w:firstColumn="1" w:lastColumn="0" w:noHBand="0" w:noVBand="1"/>
      </w:tblPr>
      <w:tblGrid>
        <w:gridCol w:w="1701"/>
        <w:gridCol w:w="5460"/>
      </w:tblGrid>
      <w:tr>
        <w:tc>
          <w:tcPr>
            <w:tcW w:w="1701" w:type="dxa"/>
          </w:tcPr>
          <w:p>
            <w:pPr>
              <w:jc w:val="both"/>
              <w:rPr>
                <w:rFonts w:ascii="Garamond" w:hAnsi="Garamond"/>
              </w:rPr>
            </w:pPr>
            <w:r>
              <w:rPr>
                <w:rFonts w:ascii="Garamond" w:hAnsi="Garamond"/>
              </w:rPr>
              <w:t>Address:</w:t>
            </w:r>
          </w:p>
        </w:tc>
        <w:tc>
          <w:tcPr>
            <w:tcW w:w="5460" w:type="dxa"/>
          </w:tcPr>
          <w:p>
            <w:pPr>
              <w:jc w:val="both"/>
              <w:rPr>
                <w:rFonts w:ascii="Garamond" w:hAnsi="Garamond"/>
              </w:rPr>
            </w:pPr>
          </w:p>
          <w:p>
            <w:pPr>
              <w:jc w:val="both"/>
              <w:rPr>
                <w:rFonts w:ascii="Garamond" w:hAnsi="Garamond"/>
              </w:rPr>
            </w:pPr>
          </w:p>
          <w:p>
            <w:pPr>
              <w:jc w:val="both"/>
              <w:rPr>
                <w:rFonts w:ascii="Garamond" w:hAnsi="Garamond"/>
              </w:rPr>
            </w:pPr>
          </w:p>
        </w:tc>
      </w:tr>
      <w:tr>
        <w:tc>
          <w:tcPr>
            <w:tcW w:w="1701" w:type="dxa"/>
          </w:tcPr>
          <w:p>
            <w:pPr>
              <w:jc w:val="both"/>
              <w:rPr>
                <w:rFonts w:ascii="Garamond" w:hAnsi="Garamond"/>
              </w:rPr>
            </w:pPr>
            <w:r>
              <w:rPr>
                <w:rFonts w:ascii="Garamond" w:hAnsi="Garamond"/>
              </w:rPr>
              <w:t>Fax:</w:t>
            </w:r>
          </w:p>
        </w:tc>
        <w:tc>
          <w:tcPr>
            <w:tcW w:w="5460" w:type="dxa"/>
          </w:tcPr>
          <w:p>
            <w:pPr>
              <w:jc w:val="both"/>
              <w:rPr>
                <w:rFonts w:ascii="Garamond" w:hAnsi="Garamond"/>
              </w:rPr>
            </w:pPr>
          </w:p>
          <w:p>
            <w:pPr>
              <w:jc w:val="both"/>
              <w:rPr>
                <w:rFonts w:ascii="Garamond" w:hAnsi="Garamond"/>
              </w:rPr>
            </w:pPr>
          </w:p>
        </w:tc>
      </w:tr>
      <w:tr>
        <w:tc>
          <w:tcPr>
            <w:tcW w:w="1701" w:type="dxa"/>
          </w:tcPr>
          <w:p>
            <w:pPr>
              <w:jc w:val="both"/>
              <w:rPr>
                <w:rFonts w:ascii="Garamond" w:hAnsi="Garamond"/>
              </w:rPr>
            </w:pPr>
            <w:r>
              <w:rPr>
                <w:rFonts w:ascii="Garamond" w:hAnsi="Garamond"/>
              </w:rPr>
              <w:t>Electronic Mail:</w:t>
            </w:r>
          </w:p>
        </w:tc>
        <w:tc>
          <w:tcPr>
            <w:tcW w:w="5460" w:type="dxa"/>
          </w:tcPr>
          <w:p>
            <w:pPr>
              <w:jc w:val="both"/>
              <w:rPr>
                <w:rFonts w:ascii="Garamond" w:hAnsi="Garamond"/>
              </w:rPr>
            </w:pPr>
          </w:p>
          <w:p>
            <w:pPr>
              <w:jc w:val="both"/>
              <w:rPr>
                <w:rFonts w:ascii="Garamond" w:hAnsi="Garamond"/>
              </w:rPr>
            </w:pPr>
          </w:p>
        </w:tc>
      </w:tr>
    </w:tbl>
    <w:p>
      <w:pPr>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Parties may, by written notice to the other Parties, substitute their Notified Address from time to time.</w:t>
      </w:r>
    </w:p>
    <w:p>
      <w:pPr>
        <w:jc w:val="both"/>
        <w:rPr>
          <w:rFonts w:ascii="Garamond" w:hAnsi="Garamond"/>
        </w:rPr>
      </w:pPr>
    </w:p>
    <w:p>
      <w:pPr>
        <w:pStyle w:val="ListParagraph"/>
        <w:numPr>
          <w:ilvl w:val="0"/>
          <w:numId w:val="5"/>
        </w:numPr>
        <w:jc w:val="both"/>
        <w:rPr>
          <w:rFonts w:ascii="Garamond" w:hAnsi="Garamond"/>
          <w:b/>
        </w:rPr>
      </w:pPr>
      <w:r>
        <w:rPr>
          <w:rFonts w:ascii="Garamond" w:hAnsi="Garamond"/>
          <w:b/>
        </w:rPr>
        <w:t>ARBITRATION</w:t>
      </w:r>
    </w:p>
    <w:p>
      <w:pPr>
        <w:ind w:left="1134" w:hanging="567"/>
        <w:jc w:val="both"/>
        <w:rPr>
          <w:rFonts w:ascii="Garamond" w:hAnsi="Garamond"/>
        </w:rPr>
      </w:pPr>
    </w:p>
    <w:p>
      <w:pPr>
        <w:pStyle w:val="ListParagraph"/>
        <w:numPr>
          <w:ilvl w:val="1"/>
          <w:numId w:val="5"/>
        </w:numPr>
        <w:ind w:left="1134" w:hanging="567"/>
        <w:jc w:val="both"/>
        <w:rPr>
          <w:rFonts w:ascii="Garamond" w:hAnsi="Garamond"/>
          <w:b/>
        </w:rPr>
      </w:pPr>
      <w:r>
        <w:rPr>
          <w:rFonts w:ascii="Garamond" w:hAnsi="Garamond"/>
        </w:rPr>
        <w:t xml:space="preserve">Any dispute arising out of, or in connection with this Agreement, including any question regarding its existence, validity or termination shall be referred to and finally resolved by arbitration in Hong Kong in accordance with the Arbitration Rules of the Arbitration Centre (The “Rules”). </w:t>
      </w:r>
    </w:p>
    <w:p>
      <w:pPr>
        <w:pStyle w:val="ListParagraph"/>
        <w:ind w:left="1134" w:hanging="567"/>
        <w:jc w:val="both"/>
        <w:rPr>
          <w:rFonts w:ascii="Garamond" w:hAnsi="Garamond"/>
        </w:rPr>
      </w:pPr>
    </w:p>
    <w:p>
      <w:pPr>
        <w:pStyle w:val="ListParagraph"/>
        <w:numPr>
          <w:ilvl w:val="1"/>
          <w:numId w:val="5"/>
        </w:numPr>
        <w:ind w:left="1134" w:hanging="567"/>
        <w:jc w:val="both"/>
        <w:rPr>
          <w:rFonts w:ascii="Garamond" w:hAnsi="Garamond"/>
        </w:rPr>
      </w:pPr>
      <w:r>
        <w:rPr>
          <w:rFonts w:ascii="Garamond" w:hAnsi="Garamond"/>
        </w:rPr>
        <w:t xml:space="preserve">Notwithstanding clause 14.1, the Parties agree that they may apply to the Hong Kong courts for any interim relief in respect of any dispute arising out of or in connection with this Agreement. </w:t>
      </w:r>
    </w:p>
    <w:p>
      <w:pPr>
        <w:pStyle w:val="ListParagraph"/>
        <w:ind w:left="1134" w:hanging="567"/>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Tribunal shall consist of 1 arbitrator to be appointed by mutual agreement of the Parties and in the absence of such agreement by the Chairman/President of the Arbitration Centre.</w:t>
      </w:r>
    </w:p>
    <w:p>
      <w:pPr>
        <w:pStyle w:val="ListParagraph"/>
        <w:ind w:left="1134" w:hanging="567"/>
        <w:rPr>
          <w:rFonts w:ascii="Garamond" w:hAnsi="Garamond"/>
        </w:rPr>
      </w:pPr>
    </w:p>
    <w:p>
      <w:pPr>
        <w:pStyle w:val="ListParagraph"/>
        <w:numPr>
          <w:ilvl w:val="1"/>
          <w:numId w:val="5"/>
        </w:numPr>
        <w:ind w:left="1134" w:hanging="567"/>
        <w:jc w:val="both"/>
        <w:rPr>
          <w:rFonts w:ascii="Garamond" w:hAnsi="Garamond"/>
        </w:rPr>
      </w:pPr>
      <w:r>
        <w:rPr>
          <w:rFonts w:ascii="Garamond" w:hAnsi="Garamond"/>
        </w:rPr>
        <w:t>The language of the arbitration shall be English. The place and seat of the arbitration shall be Hong Kong.</w:t>
      </w:r>
    </w:p>
    <w:p>
      <w:pPr>
        <w:pStyle w:val="ListParagraph"/>
        <w:ind w:left="1134" w:hanging="567"/>
        <w:rPr>
          <w:rFonts w:ascii="Garamond" w:hAnsi="Garamond"/>
        </w:rPr>
      </w:pPr>
    </w:p>
    <w:p>
      <w:pPr>
        <w:pStyle w:val="ListParagraph"/>
        <w:numPr>
          <w:ilvl w:val="1"/>
          <w:numId w:val="5"/>
        </w:numPr>
        <w:ind w:left="1134" w:hanging="567"/>
        <w:jc w:val="both"/>
        <w:rPr>
          <w:rFonts w:ascii="Garamond" w:hAnsi="Garamond"/>
        </w:rPr>
      </w:pPr>
      <w:r>
        <w:rPr>
          <w:rFonts w:ascii="Garamond" w:hAnsi="Garamond"/>
        </w:rPr>
        <w:lastRenderedPageBreak/>
        <w:t>The Parties agree that the arbitration award shall be final and binding on the Parties involved in the arbitration proceedings.</w:t>
      </w:r>
    </w:p>
    <w:p>
      <w:pPr>
        <w:pStyle w:val="ListParagraph"/>
        <w:ind w:left="1134" w:hanging="567"/>
        <w:rPr>
          <w:rFonts w:ascii="Garamond" w:hAnsi="Garamond"/>
        </w:rPr>
      </w:pPr>
    </w:p>
    <w:p>
      <w:pPr>
        <w:pStyle w:val="ListParagraph"/>
        <w:numPr>
          <w:ilvl w:val="1"/>
          <w:numId w:val="5"/>
        </w:numPr>
        <w:ind w:left="1134" w:hanging="567"/>
        <w:jc w:val="both"/>
        <w:rPr>
          <w:rFonts w:ascii="Garamond" w:hAnsi="Garamond"/>
        </w:rPr>
      </w:pPr>
      <w:r>
        <w:rPr>
          <w:rFonts w:ascii="Garamond" w:hAnsi="Garamond"/>
        </w:rPr>
        <w:t>Without prejudice to any provision in the Rules, the Parties undertake to keep confidential all awards in any arbitration, together with all materials in the proceedings created for the purpose of the arbitration and all other documents produced by any Party in the proceedings not otherwise in the public domain, save and to the extent that disclosure may be required of a Party by legal duty, to protect or pursue a legal right or to enforce or challenge an award in bona fide legal proceedings before a state court or other judicial authority.</w:t>
      </w:r>
    </w:p>
    <w:p>
      <w:pPr>
        <w:jc w:val="both"/>
        <w:rPr>
          <w:rFonts w:ascii="Garamond" w:hAnsi="Garamond"/>
        </w:rPr>
      </w:pPr>
    </w:p>
    <w:p>
      <w:pPr>
        <w:pStyle w:val="ListParagraph"/>
        <w:numPr>
          <w:ilvl w:val="0"/>
          <w:numId w:val="5"/>
        </w:numPr>
        <w:ind w:left="567" w:hanging="567"/>
        <w:jc w:val="both"/>
        <w:rPr>
          <w:rFonts w:ascii="Garamond" w:hAnsi="Garamond"/>
          <w:b/>
        </w:rPr>
      </w:pPr>
      <w:r>
        <w:rPr>
          <w:rFonts w:ascii="Garamond" w:hAnsi="Garamond"/>
          <w:b/>
        </w:rPr>
        <w:t>GENERAL PROVISIONS</w:t>
      </w:r>
    </w:p>
    <w:p>
      <w:pPr>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Each Party must do, at its own expense, everything reasonably necessary (including executing documents) to give full effect to this Agreement and any transaction contemplated within this Agreement.</w:t>
      </w:r>
    </w:p>
    <w:p>
      <w:pPr>
        <w:ind w:left="1170" w:hanging="603"/>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Except as provided in this Agreement, nothing in this Agreement shall create a partnership or establish a relationship between or among any of the Parties.</w:t>
      </w:r>
    </w:p>
    <w:p>
      <w:pPr>
        <w:ind w:left="1170" w:hanging="603"/>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This Agreement shall take effect as from the date of this Agreement first above written, from which date all other Agreements or arrangements, whether written or oral, express or implied between the Parties and any Related Companies, in relation to the subject matter of this Agreement shall be deemed to have been superseded, cancelled, null and void.</w:t>
      </w:r>
    </w:p>
    <w:p>
      <w:pPr>
        <w:ind w:left="1418" w:hanging="851"/>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If there is any conflict, ambiguity or discrepancy between the provisions of this Agreement and any document subsequently created or derived from this Agreement, the provisions of this Agreement shall prevail. If there is any conflict, ambiguity or discrepancy between the provisions of this Agreement and the articles of association, or other corporate documents of either of the Parties, the provisions of this Agreement shall prevail.</w:t>
      </w:r>
    </w:p>
    <w:p>
      <w:pPr>
        <w:ind w:left="1170" w:hanging="603"/>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lang w:val="en-US"/>
        </w:rPr>
        <w:t>Unless the right of enforcement is expressly granted, it is not intended that a third party should have the right to enforce a provision of this Agreement pursuant to the relevant provisions under applicable Law. Hence, n</w:t>
      </w:r>
      <w:r>
        <w:rPr>
          <w:rFonts w:ascii="Garamond" w:hAnsi="Garamond"/>
        </w:rPr>
        <w:t>o provision of this Agreement shall be enforceable by virtue of applicable Law by any person who is not a Party to this Agreement. The Parties agree that certain provisions of this Agreement may confer a benefit on their Related Companies, and that such provisions are intended to benefit, and be enforceable by, such Related Companies in their own right.  However, under no circumstances shall consent be required from any such Related Company for the termination, rescission, amendment or variation of this Agreement, whether or not such termination, rescission, amendment or variation affects or extinguishes any such benefit.</w:t>
      </w:r>
    </w:p>
    <w:p>
      <w:pPr>
        <w:ind w:left="1418" w:hanging="851"/>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 xml:space="preserve">Neither Party shall be liable for any breach of this Agreement directly or indirectly caused by circumstances beyond its reasonable control and which prevent that Party from performing its obligations to the other, provided </w:t>
      </w:r>
      <w:r>
        <w:rPr>
          <w:rFonts w:ascii="Garamond" w:hAnsi="Garamond"/>
        </w:rPr>
        <w:lastRenderedPageBreak/>
        <w:t>that a lack of funds shall not be regarded as a circumstance beyond that Party’s reasonable control.</w:t>
      </w:r>
    </w:p>
    <w:p>
      <w:pPr>
        <w:ind w:left="1418" w:hanging="851"/>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The rights and remedies of each Party to this Agreement are, except where expressly stated to the contrary, without prejudice to any other rights and remedies available to it. A failure or delay by any Party to exercise any right or remedy under this Agreement shall not be construed or operate as a waiver of that right or remedy nor shall any single or partial exercise of any right or remedy preclude the further exercise of that right or remedy. The liability of any Party to this Agreement may in whole or in part be released, compounded or compromised and if the other Party gives time or indulgence to the person under such liability, this shall in no way prejudice or affect that Party’s rights against any other person under the same or similar liability.</w:t>
      </w:r>
    </w:p>
    <w:p>
      <w:pPr>
        <w:ind w:left="1170" w:hanging="603"/>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Except where this Agreement expressly states otherwise, a Party may, in its sole discretion, give conditionally or unconditionally or withhold any approval or consent under this Agreement.</w:t>
      </w:r>
    </w:p>
    <w:p>
      <w:pPr>
        <w:ind w:left="1170" w:hanging="603"/>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This Agreement may only be amended, superseded, or cancelled (or any of its terms and conditions waived) by written instrument signed by or on behalf of the Parties, or in the case of waiver, of the Party waiving compliance.</w:t>
      </w:r>
    </w:p>
    <w:p>
      <w:pPr>
        <w:pStyle w:val="ListParagraph"/>
        <w:ind w:left="1418" w:hanging="851"/>
        <w:rPr>
          <w:rFonts w:ascii="Garamond" w:hAnsi="Garamond"/>
        </w:rPr>
      </w:pPr>
    </w:p>
    <w:p>
      <w:pPr>
        <w:pStyle w:val="ListParagraph"/>
        <w:numPr>
          <w:ilvl w:val="1"/>
          <w:numId w:val="5"/>
        </w:numPr>
        <w:ind w:left="1170" w:hanging="603"/>
        <w:jc w:val="both"/>
        <w:rPr>
          <w:rFonts w:ascii="Garamond" w:hAnsi="Garamond"/>
        </w:rPr>
      </w:pPr>
      <w:r>
        <w:rPr>
          <w:rFonts w:ascii="Garamond" w:hAnsi="Garamond"/>
        </w:rPr>
        <w:t>The Executive may not assign, transfer, charge, create a trust over or otherwise deal in its rights and/or obligations under this Agreement (or purport to do so) without the Company’s prior written consent. The Company may assign, transfer, or otherwise deal in its rights and/or obligations under this Agreement by notifying the Executive accordingly.</w:t>
      </w:r>
    </w:p>
    <w:p>
      <w:pPr>
        <w:ind w:left="1418" w:hanging="851"/>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Each of the provisions contained in this Agreement shall be construed as independent of every other such provision, so that if any provision of this Agreement shall be determined by any court, Law or Competent Authority to be illegal, invalid and/or unenforceable then such determination shall not affect any other provision of this Agreement, all of which other provisions shall remain in full force and effect.</w:t>
      </w:r>
    </w:p>
    <w:p>
      <w:pPr>
        <w:ind w:left="1418" w:hanging="851"/>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Within this Agreement, any indemnity, limitation of liability, obligation of confidence or any other term which by its nature is intended to survive the termination of this Agreement shall survive the termination of this Agreement (howsoever occasioned).</w:t>
      </w:r>
    </w:p>
    <w:p>
      <w:pPr>
        <w:pStyle w:val="ListParagraph"/>
        <w:ind w:left="1170"/>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The contents of any Press Release to be issued by either Party in relation to this Agreement shall be subject to the prior written authorisation of the other Parties.</w:t>
      </w:r>
    </w:p>
    <w:p>
      <w:pPr>
        <w:ind w:left="1418" w:hanging="851"/>
        <w:jc w:val="both"/>
        <w:rPr>
          <w:rFonts w:ascii="Garamond" w:hAnsi="Garamond"/>
        </w:rPr>
      </w:pPr>
    </w:p>
    <w:p>
      <w:pPr>
        <w:pStyle w:val="ListParagraph"/>
        <w:numPr>
          <w:ilvl w:val="1"/>
          <w:numId w:val="5"/>
        </w:numPr>
        <w:ind w:left="1170" w:hanging="603"/>
        <w:jc w:val="both"/>
        <w:rPr>
          <w:rFonts w:ascii="Garamond" w:hAnsi="Garamond"/>
        </w:rPr>
      </w:pPr>
      <w:r>
        <w:rPr>
          <w:rFonts w:ascii="Garamond" w:hAnsi="Garamond"/>
        </w:rPr>
        <w:t>Both Parties acknowledge and warrant to each other that each independently has sought and received independent competent legal counsel with respect to the rights, obligations, terms, conditions and consequences acquired by this Agreement, all have been explained and have been completely understood.</w:t>
      </w:r>
    </w:p>
    <w:p>
      <w:pPr>
        <w:ind w:left="1418" w:hanging="851"/>
        <w:jc w:val="both"/>
        <w:rPr>
          <w:rFonts w:ascii="Garamond" w:hAnsi="Garamond"/>
        </w:rPr>
      </w:pPr>
    </w:p>
    <w:p>
      <w:pPr>
        <w:pStyle w:val="ListParagraph"/>
        <w:numPr>
          <w:ilvl w:val="1"/>
          <w:numId w:val="5"/>
        </w:numPr>
        <w:ind w:left="1170" w:hanging="603"/>
        <w:jc w:val="both"/>
        <w:rPr>
          <w:rFonts w:ascii="Garamond" w:hAnsi="Garamond"/>
        </w:rPr>
      </w:pPr>
      <w:bookmarkStart w:id="21" w:name="_Ref249010679"/>
      <w:r>
        <w:rPr>
          <w:rFonts w:ascii="Garamond" w:hAnsi="Garamond"/>
        </w:rPr>
        <w:t>This Agreement and non-contractual obligations connected with it shall be governed by and construed in accordance with the law of the jurisdiction of Hong Kong.</w:t>
      </w:r>
      <w:bookmarkEnd w:id="1"/>
      <w:bookmarkEnd w:id="21"/>
    </w:p>
    <w:p>
      <w:pPr>
        <w:ind w:left="1418" w:hanging="851"/>
        <w:jc w:val="both"/>
        <w:rPr>
          <w:rFonts w:ascii="Garamond" w:hAnsi="Garamond"/>
        </w:rPr>
      </w:pPr>
    </w:p>
    <w:p>
      <w:pPr>
        <w:pStyle w:val="ListParagraph"/>
        <w:numPr>
          <w:ilvl w:val="1"/>
          <w:numId w:val="5"/>
        </w:numPr>
        <w:ind w:left="1170" w:hanging="603"/>
        <w:jc w:val="both"/>
        <w:rPr>
          <w:rFonts w:ascii="Garamond" w:hAnsi="Garamond"/>
        </w:rPr>
      </w:pPr>
      <w:bookmarkStart w:id="22" w:name="_Ref266110874"/>
      <w:r>
        <w:rPr>
          <w:rFonts w:ascii="Garamond" w:hAnsi="Garamond"/>
        </w:rPr>
        <w:t>This Agreement may be executed in any number of counterparts.  Each counterpart, when duly executed, exchanged or delivered, is an original, but the counterparts together are one and the same agreement.</w:t>
      </w:r>
      <w:bookmarkEnd w:id="22"/>
      <w:r>
        <w:rPr>
          <w:rFonts w:ascii="Garamond" w:hAnsi="Garamond"/>
        </w:rPr>
        <w:t xml:space="preserve"> Any counterpart may take the form of an electronic copy of this Agreement and that counterpart will be treated as an original counterpart; is sufficient evidence of the execution of the original; and may be produced in evidence for all purposes in place of the original. The Party delivering the electronic counterpart will within seven days of electronic exchange, deliver the wet ink original of that counterpart to the other Party by express courier.</w:t>
      </w:r>
    </w:p>
    <w:p>
      <w:pPr>
        <w:rPr>
          <w:rFonts w:ascii="Garamond" w:hAnsi="Garamond"/>
          <w:lang w:eastAsia="zh-TW"/>
        </w:rPr>
      </w:pPr>
      <w:r>
        <w:rPr>
          <w:rFonts w:ascii="Garamond" w:hAnsi="Garamond"/>
          <w:lang w:eastAsia="zh-TW"/>
        </w:rPr>
        <w:br w:type="page"/>
      </w:r>
    </w:p>
    <w:p>
      <w:pPr>
        <w:jc w:val="both"/>
        <w:rPr>
          <w:rFonts w:ascii="Garamond" w:hAnsi="Garamond"/>
          <w:lang w:eastAsia="zh-TW"/>
        </w:rPr>
      </w:pPr>
    </w:p>
    <w:p>
      <w:pPr>
        <w:jc w:val="center"/>
        <w:rPr>
          <w:rFonts w:ascii="Garamond" w:hAnsi="Garamond"/>
          <w:b/>
          <w:u w:val="single"/>
        </w:rPr>
      </w:pPr>
      <w:r>
        <w:rPr>
          <w:rFonts w:ascii="Garamond" w:hAnsi="Garamond"/>
          <w:b/>
          <w:u w:val="single"/>
        </w:rPr>
        <w:t>ANNEXURE A</w:t>
      </w:r>
    </w:p>
    <w:p>
      <w:pPr>
        <w:jc w:val="center"/>
        <w:rPr>
          <w:rFonts w:ascii="Garamond" w:hAnsi="Garamond"/>
          <w:b/>
          <w:u w:val="single"/>
        </w:rPr>
      </w:pPr>
      <w:r>
        <w:rPr>
          <w:rFonts w:ascii="Garamond" w:hAnsi="Garamond"/>
          <w:b/>
          <w:u w:val="single"/>
        </w:rPr>
        <w:t xml:space="preserve">DESCRIPTION OF SERVICES </w:t>
      </w:r>
    </w:p>
    <w:p>
      <w:pPr>
        <w:jc w:val="both"/>
        <w:rPr>
          <w:rFonts w:ascii="Garamond" w:hAnsi="Garamond"/>
        </w:rPr>
      </w:pPr>
    </w:p>
    <w:p>
      <w:pPr>
        <w:jc w:val="both"/>
        <w:rPr>
          <w:rFonts w:ascii="Garamond" w:hAnsi="Garamond"/>
          <w:b/>
          <w:u w:val="single"/>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both"/>
        <w:rPr>
          <w:rFonts w:ascii="Garamond" w:hAnsi="Garamond"/>
          <w:lang w:eastAsia="zh-TW"/>
        </w:rPr>
      </w:pPr>
    </w:p>
    <w:p>
      <w:pPr>
        <w:jc w:val="center"/>
        <w:rPr>
          <w:rFonts w:ascii="Garamond" w:hAnsi="Garamond"/>
          <w:b/>
          <w:u w:val="single"/>
        </w:rPr>
      </w:pPr>
      <w:r>
        <w:rPr>
          <w:rFonts w:ascii="Garamond" w:hAnsi="Garamond"/>
          <w:b/>
          <w:u w:val="single"/>
        </w:rPr>
        <w:t>ANNEXURE B</w:t>
      </w:r>
    </w:p>
    <w:p>
      <w:pPr>
        <w:jc w:val="center"/>
        <w:rPr>
          <w:rFonts w:ascii="Garamond" w:hAnsi="Garamond"/>
          <w:b/>
          <w:u w:val="single"/>
        </w:rPr>
      </w:pPr>
      <w:r>
        <w:rPr>
          <w:rFonts w:ascii="Garamond" w:hAnsi="Garamond"/>
          <w:b/>
          <w:u w:val="single"/>
        </w:rPr>
        <w:t xml:space="preserve">PAYMENT TERMS </w:t>
      </w:r>
    </w:p>
    <w:p>
      <w:pPr>
        <w:jc w:val="both"/>
        <w:rPr>
          <w:rFonts w:ascii="Garamond" w:hAnsi="Garamond"/>
        </w:rPr>
      </w:pPr>
    </w:p>
    <w:p>
      <w:pPr>
        <w:pStyle w:val="ListParagraph"/>
        <w:numPr>
          <w:ilvl w:val="0"/>
          <w:numId w:val="23"/>
        </w:numPr>
        <w:jc w:val="both"/>
        <w:rPr>
          <w:rFonts w:ascii="Garamond" w:hAnsi="Garamond"/>
        </w:rPr>
      </w:pPr>
      <w:r>
        <w:rPr>
          <w:rFonts w:ascii="Garamond" w:hAnsi="Garamond"/>
        </w:rPr>
        <w:t>The Company shall pay the Executive the following fees for the duties and Services provided by the Executive:</w:t>
      </w:r>
    </w:p>
    <w:p>
      <w:pPr>
        <w:pStyle w:val="ListParagraph"/>
        <w:jc w:val="both"/>
        <w:rPr>
          <w:rFonts w:ascii="Garamond" w:hAnsi="Garamond"/>
        </w:rPr>
      </w:pPr>
    </w:p>
    <w:p>
      <w:pPr>
        <w:pStyle w:val="ListParagraph"/>
        <w:numPr>
          <w:ilvl w:val="1"/>
          <w:numId w:val="23"/>
        </w:numPr>
        <w:jc w:val="both"/>
        <w:rPr>
          <w:rFonts w:ascii="Garamond" w:hAnsi="Garamond"/>
        </w:rPr>
      </w:pPr>
      <w:r>
        <w:rPr>
          <w:rFonts w:ascii="Garamond" w:hAnsi="Garamond"/>
        </w:rPr>
        <w:t xml:space="preserve">Basic Remuneration: </w:t>
      </w:r>
      <w:r>
        <w:rPr>
          <w:rFonts w:ascii="Garamond" w:hAnsi="Garamond"/>
          <w:b/>
          <w:sz w:val="28"/>
          <w:szCs w:val="28"/>
          <w:highlight w:val="yellow"/>
        </w:rPr>
        <w:t>[●]</w:t>
      </w:r>
      <w:r>
        <w:rPr>
          <w:rFonts w:ascii="Garamond" w:hAnsi="Garamond"/>
          <w:sz w:val="28"/>
          <w:szCs w:val="28"/>
        </w:rPr>
        <w:t xml:space="preserve"> </w:t>
      </w:r>
      <w:r>
        <w:rPr>
          <w:rFonts w:ascii="Garamond" w:hAnsi="Garamond"/>
        </w:rPr>
        <w:t xml:space="preserve">annually, payable in monthly arrears as per the Agreement of </w:t>
      </w:r>
      <w:r>
        <w:rPr>
          <w:rFonts w:ascii="Garamond" w:hAnsi="Garamond"/>
          <w:b/>
          <w:sz w:val="28"/>
          <w:szCs w:val="28"/>
          <w:highlight w:val="yellow"/>
        </w:rPr>
        <w:t>[●]</w:t>
      </w:r>
      <w:r>
        <w:rPr>
          <w:rFonts w:ascii="Garamond" w:hAnsi="Garamond"/>
        </w:rPr>
        <w:t>.</w:t>
      </w:r>
    </w:p>
    <w:p>
      <w:pPr>
        <w:jc w:val="both"/>
        <w:rPr>
          <w:rFonts w:ascii="Garamond" w:hAnsi="Garamond"/>
        </w:rPr>
      </w:pPr>
    </w:p>
    <w:p>
      <w:pPr>
        <w:pStyle w:val="ListParagraph"/>
        <w:numPr>
          <w:ilvl w:val="0"/>
          <w:numId w:val="23"/>
        </w:numPr>
        <w:jc w:val="both"/>
        <w:rPr>
          <w:rFonts w:ascii="Garamond" w:hAnsi="Garamond"/>
        </w:rPr>
      </w:pPr>
      <w:r>
        <w:rPr>
          <w:rFonts w:ascii="Garamond" w:hAnsi="Garamond"/>
        </w:rPr>
        <w:t xml:space="preserve">The Company shall afford the Executive a period of paid leave pursuant to the Agreement equal to </w:t>
      </w:r>
      <w:r>
        <w:rPr>
          <w:rFonts w:ascii="Garamond" w:hAnsi="Garamond"/>
          <w:highlight w:val="yellow"/>
        </w:rPr>
        <w:t>[twenty (20)]</w:t>
      </w:r>
      <w:r>
        <w:rPr>
          <w:rFonts w:ascii="Garamond" w:hAnsi="Garamond"/>
        </w:rPr>
        <w:t xml:space="preserve"> days.</w:t>
      </w:r>
    </w:p>
    <w:p>
      <w:pPr>
        <w:rPr>
          <w:rFonts w:ascii="Garamond" w:hAnsi="Garamond"/>
          <w:b/>
          <w:u w:val="single"/>
        </w:rPr>
      </w:pPr>
      <w:r>
        <w:rPr>
          <w:rFonts w:ascii="Garamond" w:hAnsi="Garamond"/>
          <w:b/>
          <w:u w:val="single"/>
        </w:rPr>
        <w:br w:type="page"/>
      </w:r>
    </w:p>
    <w:p>
      <w:pPr>
        <w:jc w:val="center"/>
        <w:rPr>
          <w:rFonts w:ascii="Garamond" w:hAnsi="Garamond"/>
          <w:b/>
          <w:u w:val="single"/>
        </w:rPr>
      </w:pPr>
      <w:r>
        <w:rPr>
          <w:rFonts w:ascii="Garamond" w:hAnsi="Garamond"/>
          <w:b/>
          <w:u w:val="single"/>
        </w:rPr>
        <w:lastRenderedPageBreak/>
        <w:t>ANNEXURE C</w:t>
      </w:r>
    </w:p>
    <w:p>
      <w:pPr>
        <w:jc w:val="center"/>
        <w:rPr>
          <w:rFonts w:ascii="Garamond" w:hAnsi="Garamond"/>
          <w:b/>
          <w:u w:val="single"/>
        </w:rPr>
      </w:pPr>
      <w:r>
        <w:rPr>
          <w:rFonts w:ascii="Garamond" w:hAnsi="Garamond"/>
          <w:b/>
          <w:u w:val="single"/>
        </w:rPr>
        <w:t>OPTION AND INVESTMENT SHARES</w:t>
      </w:r>
    </w:p>
    <w:p>
      <w:pPr>
        <w:jc w:val="center"/>
        <w:rPr>
          <w:rFonts w:ascii="Garamond" w:hAnsi="Garamond"/>
          <w:b/>
          <w:u w:val="single"/>
        </w:rPr>
      </w:pPr>
      <w:r>
        <w:rPr>
          <w:rFonts w:ascii="Garamond" w:hAnsi="Garamond"/>
          <w:b/>
          <w:u w:val="single"/>
        </w:rPr>
        <w:t xml:space="preserve">TERMS AND CONDITIONS </w:t>
      </w:r>
    </w:p>
    <w:p>
      <w:pPr>
        <w:jc w:val="both"/>
        <w:rPr>
          <w:rFonts w:ascii="Garamond" w:hAnsi="Garamond"/>
        </w:rPr>
      </w:pPr>
    </w:p>
    <w:p>
      <w:pPr>
        <w:jc w:val="both"/>
        <w:rPr>
          <w:rFonts w:ascii="Garamond" w:hAnsi="Garamond"/>
          <w:b/>
        </w:rPr>
      </w:pPr>
      <w:r>
        <w:rPr>
          <w:rFonts w:ascii="Garamond" w:hAnsi="Garamond"/>
          <w:b/>
          <w:highlight w:val="yellow"/>
        </w:rPr>
        <w:t>[DMS: Specifics to be confirmed by client]</w:t>
      </w:r>
    </w:p>
    <w:p>
      <w:pPr>
        <w:jc w:val="both"/>
        <w:rPr>
          <w:rFonts w:ascii="Garamond" w:hAnsi="Garamond"/>
          <w:b/>
        </w:rPr>
      </w:pPr>
    </w:p>
    <w:p>
      <w:pPr>
        <w:pStyle w:val="ListParagraph"/>
        <w:numPr>
          <w:ilvl w:val="0"/>
          <w:numId w:val="24"/>
        </w:numPr>
        <w:jc w:val="both"/>
        <w:rPr>
          <w:rFonts w:ascii="Garamond" w:hAnsi="Garamond"/>
          <w:b/>
          <w:highlight w:val="yellow"/>
        </w:rPr>
      </w:pPr>
      <w:r>
        <w:rPr>
          <w:rFonts w:ascii="Garamond" w:hAnsi="Garamond"/>
          <w:b/>
          <w:highlight w:val="yellow"/>
        </w:rPr>
        <w:t>Share Capital</w:t>
      </w:r>
    </w:p>
    <w:p>
      <w:pPr>
        <w:pStyle w:val="ListParagraph"/>
        <w:jc w:val="both"/>
        <w:rPr>
          <w:rFonts w:ascii="Garamond" w:hAnsi="Garamond"/>
          <w:highlight w:val="yellow"/>
        </w:rPr>
      </w:pPr>
    </w:p>
    <w:p>
      <w:pPr>
        <w:pStyle w:val="ListParagraph"/>
        <w:numPr>
          <w:ilvl w:val="1"/>
          <w:numId w:val="24"/>
        </w:numPr>
        <w:jc w:val="both"/>
        <w:rPr>
          <w:rFonts w:ascii="Garamond" w:hAnsi="Garamond"/>
          <w:highlight w:val="yellow"/>
        </w:rPr>
      </w:pPr>
      <w:r>
        <w:rPr>
          <w:rFonts w:ascii="Garamond" w:hAnsi="Garamond"/>
          <w:highlight w:val="yellow"/>
        </w:rPr>
        <w:t>The share capital of the Company as of the date of this Agreement is comprised and structured as follows:</w:t>
      </w:r>
    </w:p>
    <w:p>
      <w:pPr>
        <w:pStyle w:val="ListParagraph"/>
        <w:jc w:val="both"/>
        <w:rPr>
          <w:rFonts w:ascii="Garamond" w:hAnsi="Garamond"/>
          <w:highlight w:val="yellow"/>
        </w:rPr>
      </w:pPr>
    </w:p>
    <w:p>
      <w:pPr>
        <w:pStyle w:val="ListParagraph"/>
        <w:ind w:left="1440"/>
        <w:jc w:val="both"/>
        <w:rPr>
          <w:rFonts w:ascii="Garamond" w:hAnsi="Garamond"/>
          <w:highlight w:val="yellow"/>
        </w:rPr>
      </w:pPr>
      <w:r>
        <w:rPr>
          <w:rFonts w:ascii="Garamond" w:hAnsi="Garamond"/>
          <w:highlight w:val="yellow"/>
        </w:rPr>
        <w:t>Total amount HKD$ 2,000,000</w:t>
      </w:r>
    </w:p>
    <w:p>
      <w:pPr>
        <w:pStyle w:val="ListParagraph"/>
        <w:ind w:left="1440"/>
        <w:jc w:val="both"/>
        <w:rPr>
          <w:rFonts w:ascii="Garamond" w:hAnsi="Garamond"/>
          <w:highlight w:val="yellow"/>
        </w:rPr>
      </w:pPr>
      <w:r>
        <w:rPr>
          <w:rFonts w:ascii="Garamond" w:hAnsi="Garamond"/>
          <w:highlight w:val="yellow"/>
        </w:rPr>
        <w:t>Comprised of 2,000,000 shares of HKD$1 each all paid up.</w:t>
      </w:r>
    </w:p>
    <w:p>
      <w:pPr>
        <w:pStyle w:val="ListParagraph"/>
        <w:ind w:left="1440"/>
        <w:jc w:val="both"/>
        <w:rPr>
          <w:rFonts w:ascii="Garamond" w:hAnsi="Garamond"/>
          <w:highlight w:val="yellow"/>
        </w:rPr>
      </w:pPr>
      <w:r>
        <w:rPr>
          <w:rFonts w:ascii="Garamond" w:hAnsi="Garamond"/>
          <w:highlight w:val="yellow"/>
        </w:rPr>
        <w:t>Divided into 1,600,000 Ordinary (or Class A) shares and 400,000 Class B shares.</w:t>
      </w:r>
    </w:p>
    <w:p>
      <w:pPr>
        <w:pStyle w:val="ListParagraph"/>
        <w:ind w:left="1440"/>
        <w:jc w:val="both"/>
        <w:rPr>
          <w:rFonts w:ascii="Garamond" w:hAnsi="Garamond"/>
          <w:highlight w:val="yellow"/>
        </w:rPr>
      </w:pPr>
    </w:p>
    <w:p>
      <w:pPr>
        <w:pStyle w:val="ListParagraph"/>
        <w:ind w:left="1440"/>
        <w:jc w:val="both"/>
        <w:rPr>
          <w:rFonts w:ascii="Garamond" w:hAnsi="Garamond"/>
          <w:highlight w:val="yellow"/>
        </w:rPr>
      </w:pPr>
      <w:r>
        <w:rPr>
          <w:rFonts w:ascii="Garamond" w:hAnsi="Garamond"/>
          <w:highlight w:val="yellow"/>
        </w:rPr>
        <w:t>Ordinary (Class A) shares afford any and all shareholders all rights and obligations under the Company’s Memorandum and Articles of Association.</w:t>
      </w:r>
    </w:p>
    <w:p>
      <w:pPr>
        <w:pStyle w:val="ListParagraph"/>
        <w:ind w:left="1440"/>
        <w:jc w:val="both"/>
        <w:rPr>
          <w:rFonts w:ascii="Garamond" w:hAnsi="Garamond"/>
          <w:highlight w:val="yellow"/>
        </w:rPr>
      </w:pPr>
    </w:p>
    <w:p>
      <w:pPr>
        <w:pStyle w:val="ListParagraph"/>
        <w:ind w:left="1440"/>
        <w:jc w:val="both"/>
        <w:rPr>
          <w:rFonts w:ascii="Garamond" w:hAnsi="Garamond"/>
          <w:highlight w:val="yellow"/>
        </w:rPr>
      </w:pPr>
      <w:r>
        <w:rPr>
          <w:rFonts w:ascii="Garamond" w:hAnsi="Garamond"/>
          <w:highlight w:val="yellow"/>
        </w:rPr>
        <w:t>Class B shares afford any and all shareholders all rights and obligations under the Company’s Memorandum and Articles of Association with the exception of voting rights.</w:t>
      </w:r>
    </w:p>
    <w:p>
      <w:pPr>
        <w:pStyle w:val="ListParagraph"/>
        <w:jc w:val="both"/>
        <w:rPr>
          <w:rFonts w:ascii="Garamond" w:hAnsi="Garamond"/>
          <w:highlight w:val="yellow"/>
        </w:rPr>
      </w:pPr>
    </w:p>
    <w:p>
      <w:pPr>
        <w:pStyle w:val="ListParagraph"/>
        <w:numPr>
          <w:ilvl w:val="0"/>
          <w:numId w:val="24"/>
        </w:numPr>
        <w:jc w:val="both"/>
        <w:rPr>
          <w:rFonts w:ascii="Garamond" w:hAnsi="Garamond"/>
          <w:b/>
          <w:highlight w:val="yellow"/>
        </w:rPr>
      </w:pPr>
      <w:r>
        <w:rPr>
          <w:rFonts w:ascii="Garamond" w:hAnsi="Garamond"/>
          <w:b/>
          <w:highlight w:val="yellow"/>
        </w:rPr>
        <w:t>Option Shares</w:t>
      </w:r>
    </w:p>
    <w:p>
      <w:pPr>
        <w:pStyle w:val="ListParagraph"/>
        <w:jc w:val="both"/>
        <w:rPr>
          <w:rFonts w:ascii="Garamond" w:hAnsi="Garamond"/>
          <w:highlight w:val="yellow"/>
        </w:rPr>
      </w:pPr>
    </w:p>
    <w:p>
      <w:pPr>
        <w:pStyle w:val="ListParagraph"/>
        <w:numPr>
          <w:ilvl w:val="1"/>
          <w:numId w:val="24"/>
        </w:numPr>
        <w:jc w:val="both"/>
        <w:rPr>
          <w:rFonts w:ascii="Garamond" w:hAnsi="Garamond"/>
          <w:highlight w:val="yellow"/>
        </w:rPr>
      </w:pPr>
      <w:r>
        <w:rPr>
          <w:rFonts w:ascii="Garamond" w:hAnsi="Garamond"/>
          <w:highlight w:val="yellow"/>
        </w:rPr>
        <w:t>Pursuant to clause 3.4 of the Agreement, the Company shall grant to the Executive as part of the ‘StyleMe Stock Option Incentive Plan 2017’ a total of ** thousand (**,000) Class B Shares of the Company which amounts to * per cent (*%) of the total authorised and paid up share capital of the Company (“Option Shares”). The Executive will be entitled to receive the Option Shares as follows:</w:t>
      </w:r>
    </w:p>
    <w:p>
      <w:pPr>
        <w:pStyle w:val="ListParagraph"/>
        <w:jc w:val="both"/>
        <w:rPr>
          <w:rFonts w:ascii="Garamond" w:hAnsi="Garamond"/>
          <w:highlight w:val="yellow"/>
        </w:rPr>
      </w:pPr>
    </w:p>
    <w:p>
      <w:pPr>
        <w:pStyle w:val="ListParagraph"/>
        <w:numPr>
          <w:ilvl w:val="2"/>
          <w:numId w:val="24"/>
        </w:numPr>
        <w:jc w:val="both"/>
        <w:rPr>
          <w:rFonts w:ascii="Garamond" w:hAnsi="Garamond"/>
          <w:highlight w:val="yellow"/>
        </w:rPr>
      </w:pPr>
      <w:r>
        <w:rPr>
          <w:rFonts w:ascii="Garamond" w:hAnsi="Garamond"/>
          <w:highlight w:val="yellow"/>
        </w:rPr>
        <w:t xml:space="preserve">Twenty five per cent (25%) of the Option Shares (**,000 Option Shares) upon the following event occurring but in no case earlier than </w:t>
      </w:r>
      <w:r>
        <w:rPr>
          <w:rFonts w:ascii="Garamond" w:hAnsi="Garamond"/>
          <w:b/>
          <w:sz w:val="28"/>
          <w:szCs w:val="28"/>
          <w:highlight w:val="yellow"/>
        </w:rPr>
        <w:t>[●]</w:t>
      </w:r>
      <w:r>
        <w:rPr>
          <w:rFonts w:ascii="Garamond" w:hAnsi="Garamond"/>
          <w:highlight w:val="yellow"/>
        </w:rPr>
        <w:t>:</w:t>
      </w:r>
    </w:p>
    <w:p>
      <w:pPr>
        <w:ind w:left="1440"/>
        <w:jc w:val="both"/>
        <w:rPr>
          <w:rFonts w:ascii="Garamond" w:hAnsi="Garamond"/>
          <w:highlight w:val="yellow"/>
        </w:rPr>
      </w:pPr>
    </w:p>
    <w:p>
      <w:pPr>
        <w:ind w:left="1440" w:firstLine="540"/>
        <w:jc w:val="both"/>
        <w:rPr>
          <w:rFonts w:ascii="Garamond" w:hAnsi="Garamond"/>
          <w:highlight w:val="yellow"/>
        </w:rPr>
      </w:pPr>
      <w:r>
        <w:rPr>
          <w:rFonts w:ascii="Garamond" w:hAnsi="Garamond"/>
          <w:highlight w:val="yellow"/>
        </w:rPr>
        <w:t>*** (“First Event”)</w:t>
      </w:r>
    </w:p>
    <w:p>
      <w:pPr>
        <w:pStyle w:val="ListParagraph"/>
        <w:numPr>
          <w:ilvl w:val="2"/>
          <w:numId w:val="24"/>
        </w:numPr>
        <w:jc w:val="both"/>
        <w:rPr>
          <w:rFonts w:ascii="Garamond" w:hAnsi="Garamond"/>
          <w:highlight w:val="yellow"/>
        </w:rPr>
      </w:pPr>
    </w:p>
    <w:p>
      <w:pPr>
        <w:ind w:left="1080"/>
        <w:jc w:val="both"/>
        <w:rPr>
          <w:rFonts w:ascii="Garamond" w:hAnsi="Garamond"/>
          <w:highlight w:val="yellow"/>
        </w:rPr>
      </w:pPr>
    </w:p>
    <w:p>
      <w:pPr>
        <w:pStyle w:val="ListParagraph"/>
        <w:numPr>
          <w:ilvl w:val="2"/>
          <w:numId w:val="24"/>
        </w:numPr>
        <w:jc w:val="both"/>
        <w:rPr>
          <w:rFonts w:ascii="Garamond" w:hAnsi="Garamond"/>
          <w:highlight w:val="yellow"/>
        </w:rPr>
      </w:pPr>
      <w:r>
        <w:rPr>
          <w:rFonts w:ascii="Garamond" w:hAnsi="Garamond"/>
          <w:highlight w:val="yellow"/>
        </w:rPr>
        <w:t xml:space="preserve">Twenty five per cent (25%) of the Option Shares (25,000 Option Shares) upon the following event occurring but in no case earlier than </w:t>
      </w:r>
      <w:r>
        <w:rPr>
          <w:rFonts w:ascii="Garamond" w:hAnsi="Garamond"/>
          <w:b/>
          <w:sz w:val="28"/>
          <w:szCs w:val="28"/>
          <w:highlight w:val="yellow"/>
        </w:rPr>
        <w:t>[●]</w:t>
      </w:r>
      <w:r>
        <w:rPr>
          <w:rFonts w:ascii="Garamond" w:hAnsi="Garamond"/>
          <w:highlight w:val="yellow"/>
        </w:rPr>
        <w:t>:</w:t>
      </w:r>
    </w:p>
    <w:p>
      <w:pPr>
        <w:ind w:left="1440"/>
        <w:jc w:val="both"/>
        <w:rPr>
          <w:rFonts w:ascii="Garamond" w:hAnsi="Garamond"/>
          <w:highlight w:val="yellow"/>
        </w:rPr>
      </w:pPr>
    </w:p>
    <w:p>
      <w:pPr>
        <w:ind w:left="1440" w:firstLine="540"/>
        <w:jc w:val="both"/>
        <w:rPr>
          <w:rFonts w:ascii="Garamond" w:hAnsi="Garamond"/>
          <w:highlight w:val="yellow"/>
        </w:rPr>
      </w:pPr>
      <w:r>
        <w:rPr>
          <w:rFonts w:ascii="Garamond" w:hAnsi="Garamond"/>
          <w:highlight w:val="yellow"/>
        </w:rPr>
        <w:t>*** (“Second Event”)</w:t>
      </w:r>
    </w:p>
    <w:p>
      <w:pPr>
        <w:ind w:left="1440"/>
        <w:jc w:val="both"/>
        <w:rPr>
          <w:rFonts w:ascii="Garamond" w:hAnsi="Garamond"/>
          <w:highlight w:val="yellow"/>
        </w:rPr>
      </w:pPr>
    </w:p>
    <w:p>
      <w:pPr>
        <w:pStyle w:val="ListParagraph"/>
        <w:numPr>
          <w:ilvl w:val="2"/>
          <w:numId w:val="24"/>
        </w:numPr>
        <w:jc w:val="both"/>
        <w:rPr>
          <w:rFonts w:ascii="Garamond" w:hAnsi="Garamond"/>
          <w:highlight w:val="yellow"/>
        </w:rPr>
      </w:pPr>
      <w:r>
        <w:rPr>
          <w:rFonts w:ascii="Garamond" w:hAnsi="Garamond"/>
          <w:highlight w:val="yellow"/>
        </w:rPr>
        <w:t xml:space="preserve">Twenty five per cent (25%) of the Option Shares (25,000 Option Shares) upon the following event occurring but in no case earlier than </w:t>
      </w:r>
      <w:r>
        <w:rPr>
          <w:rFonts w:ascii="Garamond" w:hAnsi="Garamond"/>
          <w:b/>
          <w:sz w:val="28"/>
          <w:szCs w:val="28"/>
          <w:highlight w:val="yellow"/>
        </w:rPr>
        <w:t>[●]</w:t>
      </w:r>
      <w:r>
        <w:rPr>
          <w:rFonts w:ascii="Garamond" w:hAnsi="Garamond"/>
          <w:highlight w:val="yellow"/>
        </w:rPr>
        <w:t>:</w:t>
      </w:r>
    </w:p>
    <w:p>
      <w:pPr>
        <w:ind w:left="1440"/>
        <w:jc w:val="both"/>
        <w:rPr>
          <w:rFonts w:ascii="Garamond" w:hAnsi="Garamond"/>
          <w:highlight w:val="yellow"/>
        </w:rPr>
      </w:pPr>
    </w:p>
    <w:p>
      <w:pPr>
        <w:ind w:left="1440" w:firstLine="540"/>
        <w:jc w:val="both"/>
        <w:rPr>
          <w:rFonts w:ascii="Garamond" w:hAnsi="Garamond"/>
          <w:highlight w:val="yellow"/>
        </w:rPr>
      </w:pPr>
      <w:r>
        <w:rPr>
          <w:rFonts w:ascii="Garamond" w:hAnsi="Garamond"/>
          <w:highlight w:val="yellow"/>
        </w:rPr>
        <w:t>*** (“Third Event”)</w:t>
      </w:r>
    </w:p>
    <w:p>
      <w:pPr>
        <w:ind w:left="1440"/>
        <w:jc w:val="both"/>
        <w:rPr>
          <w:rFonts w:ascii="Garamond" w:hAnsi="Garamond"/>
          <w:highlight w:val="yellow"/>
        </w:rPr>
      </w:pPr>
    </w:p>
    <w:p>
      <w:pPr>
        <w:pStyle w:val="ListParagraph"/>
        <w:numPr>
          <w:ilvl w:val="2"/>
          <w:numId w:val="24"/>
        </w:numPr>
        <w:jc w:val="both"/>
        <w:rPr>
          <w:rFonts w:ascii="Garamond" w:hAnsi="Garamond"/>
          <w:highlight w:val="yellow"/>
        </w:rPr>
      </w:pPr>
      <w:r>
        <w:rPr>
          <w:rFonts w:ascii="Garamond" w:hAnsi="Garamond"/>
          <w:highlight w:val="yellow"/>
        </w:rPr>
        <w:t xml:space="preserve">Twenty five per cent (25%) of the Option Shares (25,000 Option Shares) upon the following event occurring but in no case earlier than </w:t>
      </w:r>
      <w:r>
        <w:rPr>
          <w:rFonts w:ascii="Garamond" w:hAnsi="Garamond"/>
          <w:b/>
          <w:sz w:val="28"/>
          <w:szCs w:val="28"/>
          <w:highlight w:val="yellow"/>
        </w:rPr>
        <w:t>[●]</w:t>
      </w:r>
      <w:r>
        <w:rPr>
          <w:rFonts w:ascii="Garamond" w:hAnsi="Garamond"/>
          <w:highlight w:val="yellow"/>
        </w:rPr>
        <w:t>:</w:t>
      </w:r>
    </w:p>
    <w:p>
      <w:pPr>
        <w:ind w:left="1440"/>
        <w:jc w:val="both"/>
        <w:rPr>
          <w:rFonts w:ascii="Garamond" w:hAnsi="Garamond"/>
          <w:highlight w:val="yellow"/>
        </w:rPr>
      </w:pPr>
    </w:p>
    <w:p>
      <w:pPr>
        <w:ind w:left="1440" w:firstLine="540"/>
        <w:jc w:val="both"/>
        <w:rPr>
          <w:rFonts w:ascii="Garamond" w:hAnsi="Garamond"/>
          <w:highlight w:val="yellow"/>
        </w:rPr>
      </w:pPr>
      <w:r>
        <w:rPr>
          <w:rFonts w:ascii="Garamond" w:hAnsi="Garamond"/>
          <w:highlight w:val="yellow"/>
        </w:rPr>
        <w:t>*** (“Fourth Event”)</w:t>
      </w:r>
    </w:p>
    <w:p>
      <w:pPr>
        <w:jc w:val="both"/>
        <w:rPr>
          <w:rFonts w:ascii="Garamond" w:hAnsi="Garamond"/>
          <w:highlight w:val="yellow"/>
        </w:rPr>
      </w:pPr>
    </w:p>
    <w:p>
      <w:pPr>
        <w:pStyle w:val="ListParagraph"/>
        <w:numPr>
          <w:ilvl w:val="1"/>
          <w:numId w:val="24"/>
        </w:numPr>
        <w:jc w:val="both"/>
        <w:rPr>
          <w:rFonts w:ascii="Garamond" w:hAnsi="Garamond"/>
          <w:highlight w:val="yellow"/>
        </w:rPr>
      </w:pPr>
      <w:r>
        <w:rPr>
          <w:rFonts w:ascii="Garamond" w:hAnsi="Garamond"/>
          <w:highlight w:val="yellow"/>
        </w:rPr>
        <w:t>The Option Shares are subject to the terms and conditions of the [‘StyleMe Stock Option Incentive Plan 2017’] and the specific terms and conditions for the award under the [‘StyleMe Stock Option Incentive Plan 2017’] both of which are incorporated herein by reference.</w:t>
      </w:r>
    </w:p>
    <w:p>
      <w:pPr>
        <w:pStyle w:val="ListParagraph"/>
        <w:jc w:val="both"/>
        <w:rPr>
          <w:rFonts w:ascii="Garamond" w:hAnsi="Garamond"/>
          <w:highlight w:val="yellow"/>
        </w:rPr>
      </w:pPr>
    </w:p>
    <w:p>
      <w:pPr>
        <w:pStyle w:val="ListParagraph"/>
        <w:numPr>
          <w:ilvl w:val="0"/>
          <w:numId w:val="24"/>
        </w:numPr>
        <w:jc w:val="both"/>
        <w:rPr>
          <w:rFonts w:ascii="Garamond" w:hAnsi="Garamond"/>
          <w:b/>
          <w:highlight w:val="yellow"/>
        </w:rPr>
      </w:pPr>
      <w:r>
        <w:rPr>
          <w:rFonts w:ascii="Garamond" w:hAnsi="Garamond"/>
          <w:b/>
          <w:highlight w:val="yellow"/>
        </w:rPr>
        <w:t>Investment Shares</w:t>
      </w:r>
    </w:p>
    <w:p>
      <w:pPr>
        <w:ind w:left="360"/>
        <w:jc w:val="both"/>
        <w:rPr>
          <w:rFonts w:ascii="Garamond" w:hAnsi="Garamond"/>
          <w:highlight w:val="yellow"/>
        </w:rPr>
      </w:pPr>
    </w:p>
    <w:p>
      <w:pPr>
        <w:pStyle w:val="ListParagraph"/>
        <w:numPr>
          <w:ilvl w:val="1"/>
          <w:numId w:val="24"/>
        </w:numPr>
        <w:jc w:val="both"/>
        <w:rPr>
          <w:rFonts w:ascii="Garamond" w:hAnsi="Garamond"/>
          <w:highlight w:val="yellow"/>
        </w:rPr>
      </w:pPr>
      <w:r>
        <w:rPr>
          <w:rFonts w:ascii="Garamond" w:hAnsi="Garamond"/>
          <w:highlight w:val="yellow"/>
        </w:rPr>
        <w:t>Pursuant to clause 3.5 of the Agreement, the Company shall allow the Executive within thirty (30) Business Days of the date of this Agreement (the “Investment Date”), to subscribe for ** thousand (**,000) Ordinary new shares in the Company (the “Investment Shares”) at an overall valuation of the entire capital of the Company of fifteen million dollars (USD$15,000,000.00).</w:t>
      </w:r>
    </w:p>
    <w:p>
      <w:pPr>
        <w:pStyle w:val="ListParagraph"/>
        <w:ind w:left="1440"/>
        <w:jc w:val="both"/>
        <w:rPr>
          <w:rFonts w:ascii="Garamond" w:hAnsi="Garamond"/>
          <w:highlight w:val="yellow"/>
        </w:rPr>
      </w:pPr>
    </w:p>
    <w:p>
      <w:pPr>
        <w:pStyle w:val="ListParagraph"/>
        <w:numPr>
          <w:ilvl w:val="1"/>
          <w:numId w:val="24"/>
        </w:numPr>
        <w:jc w:val="both"/>
        <w:rPr>
          <w:rFonts w:ascii="Garamond" w:hAnsi="Garamond"/>
          <w:highlight w:val="yellow"/>
        </w:rPr>
      </w:pPr>
      <w:r>
        <w:rPr>
          <w:rFonts w:ascii="Garamond" w:hAnsi="Garamond"/>
          <w:highlight w:val="yellow"/>
        </w:rPr>
        <w:t>As at the Investment Date, the Executive agrees to execute a subscription agreement with the Company where in consideration for a total subscription price of ** (USD$) and executing a deed of adherance to the Company’s shareholders agreement, the Company shall issue the Investment Shares to the Executive’s name upon completion.</w:t>
      </w:r>
    </w:p>
    <w:p>
      <w:pPr>
        <w:jc w:val="both"/>
        <w:rPr>
          <w:rFonts w:ascii="Garamond" w:hAnsi="Garamond"/>
          <w:highlight w:val="yellow"/>
        </w:rPr>
      </w:pPr>
    </w:p>
    <w:p>
      <w:pPr>
        <w:pStyle w:val="ListParagraph"/>
        <w:numPr>
          <w:ilvl w:val="1"/>
          <w:numId w:val="24"/>
        </w:numPr>
        <w:jc w:val="both"/>
        <w:rPr>
          <w:rFonts w:ascii="Garamond" w:hAnsi="Garamond"/>
          <w:highlight w:val="yellow"/>
        </w:rPr>
      </w:pPr>
      <w:r>
        <w:rPr>
          <w:rFonts w:ascii="Garamond" w:hAnsi="Garamond"/>
          <w:highlight w:val="yellow"/>
        </w:rPr>
        <w:t>The Investment Shares will be subject to the additional terms and conditions:</w:t>
      </w:r>
    </w:p>
    <w:p>
      <w:pPr>
        <w:jc w:val="both"/>
        <w:rPr>
          <w:rFonts w:ascii="Garamond" w:hAnsi="Garamond"/>
          <w:highlight w:val="yellow"/>
        </w:rPr>
      </w:pPr>
    </w:p>
    <w:p>
      <w:pPr>
        <w:pStyle w:val="ListParagraph"/>
        <w:numPr>
          <w:ilvl w:val="2"/>
          <w:numId w:val="24"/>
        </w:numPr>
        <w:jc w:val="both"/>
        <w:rPr>
          <w:rFonts w:ascii="Garamond" w:hAnsi="Garamond"/>
          <w:highlight w:val="yellow"/>
        </w:rPr>
      </w:pPr>
      <w:r>
        <w:rPr>
          <w:rFonts w:ascii="Garamond" w:hAnsi="Garamond"/>
          <w:highlight w:val="yellow"/>
        </w:rPr>
        <w:t>Should this Agreement be terminated for whatsoever reason during the Term the Executive shall have the obligation to sell back to the Company who shall be obligated to buy back the Investment Shares at an amount equivalent to the amount paid (as subscription price) by the Executive, plus an additional six per cent (6%) per every six (6) months of the Term that has fully elapsed since the Commencement Date.</w:t>
      </w:r>
    </w:p>
    <w:p>
      <w:pPr>
        <w:jc w:val="both"/>
        <w:rPr>
          <w:rFonts w:ascii="Garamond" w:hAnsi="Garamond"/>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rPr>
          <w:rFonts w:ascii="Garamond" w:hAnsi="Garamond"/>
          <w:b/>
        </w:rPr>
      </w:pPr>
      <w:r>
        <w:rPr>
          <w:rFonts w:ascii="Garamond" w:hAnsi="Garamond"/>
          <w:b/>
        </w:rPr>
        <w:br w:type="page"/>
      </w:r>
    </w:p>
    <w:p>
      <w:pPr>
        <w:jc w:val="both"/>
        <w:rPr>
          <w:rFonts w:ascii="Garamond" w:hAnsi="Garamond"/>
          <w:b/>
        </w:rPr>
      </w:pPr>
    </w:p>
    <w:p>
      <w:pPr>
        <w:jc w:val="both"/>
        <w:rPr>
          <w:rFonts w:ascii="Garamond" w:hAnsi="Garamond"/>
        </w:rPr>
      </w:pPr>
      <w:r>
        <w:rPr>
          <w:rFonts w:ascii="Garamond" w:hAnsi="Garamond"/>
        </w:rPr>
        <w:t>Signed by the Parties on the date of this Agreement first above written.</w:t>
      </w:r>
    </w:p>
    <w:p>
      <w:pPr>
        <w:jc w:val="both"/>
        <w:rPr>
          <w:rFonts w:ascii="Garamond" w:hAnsi="Garamond"/>
        </w:rPr>
      </w:pPr>
    </w:p>
    <w:p>
      <w:pPr>
        <w:jc w:val="both"/>
        <w:rPr>
          <w:rFonts w:ascii="Garamond" w:hAnsi="Garamond"/>
        </w:rPr>
      </w:pPr>
    </w:p>
    <w:tbl>
      <w:tblPr>
        <w:tblStyle w:val="TableGrid"/>
        <w:tblW w:w="0" w:type="auto"/>
        <w:tblLook w:val="04A0" w:firstRow="1" w:lastRow="0" w:firstColumn="1" w:lastColumn="0" w:noHBand="0" w:noVBand="1"/>
      </w:tblPr>
      <w:tblGrid>
        <w:gridCol w:w="2977"/>
        <w:gridCol w:w="320"/>
        <w:gridCol w:w="5003"/>
      </w:tblGrid>
      <w:tr>
        <w:tc>
          <w:tcPr>
            <w:tcW w:w="2977" w:type="dxa"/>
            <w:tcBorders>
              <w:top w:val="nil"/>
              <w:left w:val="nil"/>
              <w:bottom w:val="nil"/>
              <w:right w:val="nil"/>
            </w:tcBorders>
          </w:tcPr>
          <w:p>
            <w:pPr>
              <w:rPr>
                <w:rFonts w:ascii="Garamond" w:hAnsi="Garamond"/>
              </w:rPr>
            </w:pPr>
            <w:r>
              <w:rPr>
                <w:rFonts w:ascii="Garamond" w:hAnsi="Garamond"/>
              </w:rPr>
              <w:t>Signed by the Company:</w:t>
            </w:r>
          </w:p>
        </w:tc>
        <w:tc>
          <w:tcPr>
            <w:tcW w:w="320" w:type="dxa"/>
            <w:tcBorders>
              <w:top w:val="nil"/>
              <w:left w:val="nil"/>
              <w:bottom w:val="nil"/>
              <w:right w:val="nil"/>
            </w:tcBorders>
          </w:tcPr>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tc>
        <w:tc>
          <w:tcPr>
            <w:tcW w:w="5003"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tc>
                <w:tcPr>
                  <w:tcW w:w="3577" w:type="dxa"/>
                  <w:tcBorders>
                    <w:bottom w:val="dotted" w:sz="4" w:space="0" w:color="auto"/>
                  </w:tcBorders>
                </w:tcPr>
                <w:p>
                  <w:pPr>
                    <w:jc w:val="center"/>
                    <w:rPr>
                      <w:rFonts w:ascii="Garamond" w:hAnsi="Garamond"/>
                    </w:rPr>
                  </w:pPr>
                </w:p>
              </w:tc>
            </w:tr>
            <w:tr>
              <w:tc>
                <w:tcPr>
                  <w:tcW w:w="3577" w:type="dxa"/>
                  <w:tcBorders>
                    <w:top w:val="dotted" w:sz="4" w:space="0" w:color="auto"/>
                  </w:tcBorders>
                </w:tcPr>
                <w:p>
                  <w:pPr>
                    <w:jc w:val="center"/>
                    <w:rPr>
                      <w:rFonts w:ascii="Garamond" w:hAnsi="Garamond"/>
                    </w:rPr>
                  </w:pPr>
                  <w:r>
                    <w:rPr>
                      <w:rFonts w:ascii="Garamond" w:hAnsi="Garamond"/>
                    </w:rPr>
                    <w:t>Signature</w:t>
                  </w:r>
                </w:p>
              </w:tc>
            </w:tr>
            <w:tr>
              <w:tc>
                <w:tcPr>
                  <w:tcW w:w="3577" w:type="dxa"/>
                  <w:tcBorders>
                    <w:bottom w:val="dotted" w:sz="4" w:space="0" w:color="auto"/>
                  </w:tcBorders>
                </w:tcPr>
                <w:p>
                  <w:pPr>
                    <w:jc w:val="center"/>
                    <w:rPr>
                      <w:rFonts w:ascii="Garamond" w:hAnsi="Garamond"/>
                    </w:rPr>
                  </w:pPr>
                </w:p>
              </w:tc>
            </w:tr>
            <w:tr>
              <w:tc>
                <w:tcPr>
                  <w:tcW w:w="3577" w:type="dxa"/>
                  <w:tcBorders>
                    <w:top w:val="dotted" w:sz="4" w:space="0" w:color="auto"/>
                  </w:tcBorders>
                </w:tcPr>
                <w:p>
                  <w:pPr>
                    <w:jc w:val="center"/>
                    <w:rPr>
                      <w:rFonts w:ascii="Garamond" w:hAnsi="Garamond"/>
                    </w:rPr>
                  </w:pPr>
                  <w:r>
                    <w:rPr>
                      <w:rFonts w:ascii="Garamond" w:hAnsi="Garamond"/>
                    </w:rPr>
                    <w:t>Name</w:t>
                  </w:r>
                </w:p>
              </w:tc>
            </w:tr>
            <w:tr>
              <w:tc>
                <w:tcPr>
                  <w:tcW w:w="3577" w:type="dxa"/>
                  <w:tcBorders>
                    <w:bottom w:val="dotted" w:sz="4" w:space="0" w:color="auto"/>
                  </w:tcBorders>
                </w:tcPr>
                <w:p>
                  <w:pPr>
                    <w:jc w:val="center"/>
                    <w:rPr>
                      <w:rFonts w:ascii="Garamond" w:hAnsi="Garamond"/>
                    </w:rPr>
                  </w:pPr>
                </w:p>
              </w:tc>
            </w:tr>
            <w:tr>
              <w:tc>
                <w:tcPr>
                  <w:tcW w:w="3577" w:type="dxa"/>
                  <w:tcBorders>
                    <w:top w:val="dotted" w:sz="4" w:space="0" w:color="auto"/>
                  </w:tcBorders>
                </w:tcPr>
                <w:p>
                  <w:pPr>
                    <w:jc w:val="center"/>
                    <w:rPr>
                      <w:rFonts w:ascii="Garamond" w:hAnsi="Garamond"/>
                    </w:rPr>
                  </w:pPr>
                  <w:r>
                    <w:rPr>
                      <w:rFonts w:ascii="Garamond" w:hAnsi="Garamond"/>
                    </w:rPr>
                    <w:t>Title</w:t>
                  </w:r>
                </w:p>
              </w:tc>
            </w:tr>
          </w:tbl>
          <w:p>
            <w:pPr>
              <w:jc w:val="both"/>
              <w:rPr>
                <w:rFonts w:ascii="Garamond" w:hAnsi="Garamond"/>
              </w:rPr>
            </w:pPr>
          </w:p>
        </w:tc>
      </w:tr>
    </w:tbl>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tbl>
      <w:tblPr>
        <w:tblStyle w:val="TableGrid"/>
        <w:tblW w:w="0" w:type="auto"/>
        <w:tblLook w:val="04A0" w:firstRow="1" w:lastRow="0" w:firstColumn="1" w:lastColumn="0" w:noHBand="0" w:noVBand="1"/>
      </w:tblPr>
      <w:tblGrid>
        <w:gridCol w:w="2977"/>
        <w:gridCol w:w="320"/>
        <w:gridCol w:w="5003"/>
      </w:tblGrid>
      <w:tr>
        <w:tc>
          <w:tcPr>
            <w:tcW w:w="2977" w:type="dxa"/>
            <w:tcBorders>
              <w:top w:val="nil"/>
              <w:left w:val="nil"/>
              <w:bottom w:val="nil"/>
              <w:right w:val="nil"/>
            </w:tcBorders>
          </w:tcPr>
          <w:p>
            <w:pPr>
              <w:rPr>
                <w:rFonts w:ascii="Garamond" w:hAnsi="Garamond"/>
                <w:lang w:eastAsia="zh-TW"/>
              </w:rPr>
            </w:pPr>
          </w:p>
        </w:tc>
        <w:tc>
          <w:tcPr>
            <w:tcW w:w="320" w:type="dxa"/>
            <w:tcBorders>
              <w:top w:val="nil"/>
              <w:left w:val="nil"/>
              <w:bottom w:val="nil"/>
              <w:right w:val="nil"/>
            </w:tcBorders>
          </w:tcPr>
          <w:p>
            <w:pPr>
              <w:jc w:val="both"/>
              <w:rPr>
                <w:rFonts w:ascii="Garamond" w:hAnsi="Garamond"/>
              </w:rPr>
            </w:pPr>
          </w:p>
        </w:tc>
        <w:tc>
          <w:tcPr>
            <w:tcW w:w="5003" w:type="dxa"/>
            <w:tcBorders>
              <w:top w:val="nil"/>
              <w:left w:val="nil"/>
              <w:bottom w:val="nil"/>
              <w:right w:val="nil"/>
            </w:tcBorders>
          </w:tcPr>
          <w:p>
            <w:pPr>
              <w:jc w:val="both"/>
              <w:rPr>
                <w:rFonts w:ascii="Garamond" w:hAnsi="Garamond"/>
              </w:rPr>
            </w:pPr>
          </w:p>
        </w:tc>
      </w:tr>
    </w:tbl>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tbl>
      <w:tblPr>
        <w:tblStyle w:val="TableGrid"/>
        <w:tblW w:w="0" w:type="auto"/>
        <w:tblLook w:val="04A0" w:firstRow="1" w:lastRow="0" w:firstColumn="1" w:lastColumn="0" w:noHBand="0" w:noVBand="1"/>
      </w:tblPr>
      <w:tblGrid>
        <w:gridCol w:w="2977"/>
        <w:gridCol w:w="326"/>
        <w:gridCol w:w="4997"/>
      </w:tblGrid>
      <w:tr>
        <w:tc>
          <w:tcPr>
            <w:tcW w:w="2977" w:type="dxa"/>
            <w:tcBorders>
              <w:top w:val="nil"/>
              <w:left w:val="nil"/>
              <w:bottom w:val="nil"/>
              <w:right w:val="nil"/>
            </w:tcBorders>
          </w:tcPr>
          <w:p>
            <w:pPr>
              <w:rPr>
                <w:rFonts w:ascii="Garamond" w:hAnsi="Garamond"/>
              </w:rPr>
            </w:pPr>
            <w:r>
              <w:rPr>
                <w:rFonts w:ascii="Garamond" w:hAnsi="Garamond"/>
              </w:rPr>
              <w:t>Signed by the Executive:</w:t>
            </w:r>
          </w:p>
        </w:tc>
        <w:tc>
          <w:tcPr>
            <w:tcW w:w="326" w:type="dxa"/>
            <w:tcBorders>
              <w:top w:val="nil"/>
              <w:left w:val="nil"/>
              <w:bottom w:val="nil"/>
              <w:right w:val="nil"/>
            </w:tcBorders>
          </w:tcPr>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p>
            <w:pPr>
              <w:jc w:val="both"/>
              <w:rPr>
                <w:rFonts w:ascii="Garamond" w:hAnsi="Garamond"/>
              </w:rPr>
            </w:pPr>
            <w:r>
              <w:rPr>
                <w:rFonts w:ascii="Garamond" w:hAnsi="Garamond"/>
              </w:rPr>
              <w:t>)</w:t>
            </w:r>
          </w:p>
        </w:tc>
        <w:tc>
          <w:tcPr>
            <w:tcW w:w="499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tc>
                <w:tcPr>
                  <w:tcW w:w="3577" w:type="dxa"/>
                  <w:tcBorders>
                    <w:bottom w:val="dotted" w:sz="4" w:space="0" w:color="auto"/>
                  </w:tcBorders>
                </w:tcPr>
                <w:p>
                  <w:pPr>
                    <w:jc w:val="center"/>
                    <w:rPr>
                      <w:rFonts w:ascii="Garamond" w:hAnsi="Garamond"/>
                    </w:rPr>
                  </w:pPr>
                </w:p>
              </w:tc>
            </w:tr>
            <w:tr>
              <w:tc>
                <w:tcPr>
                  <w:tcW w:w="3577" w:type="dxa"/>
                  <w:tcBorders>
                    <w:top w:val="dotted" w:sz="4" w:space="0" w:color="auto"/>
                  </w:tcBorders>
                </w:tcPr>
                <w:p>
                  <w:pPr>
                    <w:jc w:val="center"/>
                    <w:rPr>
                      <w:rFonts w:ascii="Garamond" w:hAnsi="Garamond"/>
                    </w:rPr>
                  </w:pPr>
                  <w:r>
                    <w:rPr>
                      <w:rFonts w:ascii="Garamond" w:hAnsi="Garamond"/>
                    </w:rPr>
                    <w:t>Signature</w:t>
                  </w:r>
                </w:p>
              </w:tc>
            </w:tr>
            <w:tr>
              <w:tc>
                <w:tcPr>
                  <w:tcW w:w="3577" w:type="dxa"/>
                  <w:tcBorders>
                    <w:bottom w:val="dotted" w:sz="4" w:space="0" w:color="auto"/>
                  </w:tcBorders>
                </w:tcPr>
                <w:p>
                  <w:pPr>
                    <w:jc w:val="center"/>
                    <w:rPr>
                      <w:rFonts w:ascii="Garamond" w:hAnsi="Garamond"/>
                    </w:rPr>
                  </w:pPr>
                </w:p>
              </w:tc>
            </w:tr>
            <w:tr>
              <w:tc>
                <w:tcPr>
                  <w:tcW w:w="3577" w:type="dxa"/>
                  <w:tcBorders>
                    <w:top w:val="dotted" w:sz="4" w:space="0" w:color="auto"/>
                  </w:tcBorders>
                </w:tcPr>
                <w:p>
                  <w:pPr>
                    <w:jc w:val="center"/>
                    <w:rPr>
                      <w:rFonts w:ascii="Garamond" w:hAnsi="Garamond"/>
                    </w:rPr>
                  </w:pPr>
                  <w:r>
                    <w:rPr>
                      <w:rFonts w:ascii="Garamond" w:hAnsi="Garamond"/>
                    </w:rPr>
                    <w:t>Name</w:t>
                  </w:r>
                </w:p>
              </w:tc>
            </w:tr>
            <w:tr>
              <w:tc>
                <w:tcPr>
                  <w:tcW w:w="3577" w:type="dxa"/>
                  <w:tcBorders>
                    <w:bottom w:val="dotted" w:sz="4" w:space="0" w:color="auto"/>
                  </w:tcBorders>
                </w:tcPr>
                <w:p>
                  <w:pPr>
                    <w:jc w:val="center"/>
                    <w:rPr>
                      <w:rFonts w:ascii="Garamond" w:hAnsi="Garamond"/>
                    </w:rPr>
                  </w:pPr>
                </w:p>
              </w:tc>
            </w:tr>
            <w:tr>
              <w:tc>
                <w:tcPr>
                  <w:tcW w:w="3577" w:type="dxa"/>
                  <w:tcBorders>
                    <w:top w:val="dotted" w:sz="4" w:space="0" w:color="auto"/>
                  </w:tcBorders>
                </w:tcPr>
                <w:p>
                  <w:pPr>
                    <w:jc w:val="center"/>
                    <w:rPr>
                      <w:rFonts w:ascii="Garamond" w:hAnsi="Garamond"/>
                    </w:rPr>
                  </w:pPr>
                  <w:r>
                    <w:rPr>
                      <w:rFonts w:ascii="Garamond" w:hAnsi="Garamond"/>
                    </w:rPr>
                    <w:t>Title</w:t>
                  </w:r>
                </w:p>
              </w:tc>
            </w:tr>
          </w:tbl>
          <w:p>
            <w:pPr>
              <w:jc w:val="both"/>
              <w:rPr>
                <w:rFonts w:ascii="Garamond" w:hAnsi="Garamond"/>
              </w:rPr>
            </w:pPr>
          </w:p>
        </w:tc>
      </w:tr>
    </w:tbl>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p>
      <w:pPr>
        <w:jc w:val="both"/>
        <w:rPr>
          <w:rFonts w:ascii="Garamond" w:hAnsi="Garamond"/>
          <w:b/>
        </w:rPr>
      </w:pPr>
    </w:p>
    <w:sectPr>
      <w:footerReference w:type="default" r:id="rId10"/>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0598202"/>
      <w:docPartObj>
        <w:docPartGallery w:val="Page Numbers (Bottom of Page)"/>
        <w:docPartUnique/>
      </w:docPartObj>
    </w:sdtPr>
    <w:sdtEndPr>
      <w:rPr>
        <w:noProof/>
        <w:sz w:val="18"/>
        <w:szCs w:val="18"/>
      </w:rPr>
    </w:sdtEndPr>
    <w:sdtContent>
      <w:p>
        <w:pPr>
          <w:pStyle w:val="Footer"/>
          <w:jc w:val="center"/>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1</w:t>
        </w:r>
        <w:r>
          <w:rPr>
            <w:noProof/>
            <w:sz w:val="18"/>
            <w:szCs w:val="18"/>
          </w:rPr>
          <w:fldChar w:fldCharType="end"/>
        </w:r>
      </w:p>
    </w:sdtContent>
  </w:sdt>
  <w:p>
    <w:pPr>
      <w:pStyle w:val="Footer"/>
    </w:pPr>
    <w:r>
      <w:rPr>
        <w:rStyle w:val="DocID"/>
      </w:rPr>
      <w:fldChar w:fldCharType="begin"/>
    </w:r>
    <w:r>
      <w:rPr>
        <w:rStyle w:val="DocID"/>
      </w:rPr>
      <w:instrText xml:space="preserve"> DOCPROPERTY "DocID" \* MERGEFORMAT </w:instrText>
    </w:r>
    <w:r>
      <w:rPr>
        <w:rStyle w:val="DocID"/>
      </w:rPr>
      <w:fldChar w:fldCharType="separate"/>
    </w:r>
    <w:r>
      <w:rPr>
        <w:rStyle w:val="DocID"/>
      </w:rPr>
      <w:t>DM3\4559839.1</w:t>
    </w:r>
    <w:r>
      <w:rPr>
        <w:rStyle w:val="DocI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E1CBA"/>
    <w:multiLevelType w:val="hybridMultilevel"/>
    <w:tmpl w:val="34785FA6"/>
    <w:lvl w:ilvl="0" w:tplc="7AA454CE">
      <w:start w:val="1"/>
      <w:numFmt w:val="decimal"/>
      <w:lvlText w:val="%1."/>
      <w:lvlJc w:val="left"/>
      <w:pPr>
        <w:tabs>
          <w:tab w:val="num" w:pos="720"/>
        </w:tabs>
        <w:ind w:left="720" w:hanging="360"/>
      </w:pPr>
    </w:lvl>
    <w:lvl w:ilvl="1" w:tplc="BFE41152">
      <w:numFmt w:val="none"/>
      <w:lvlText w:val=""/>
      <w:lvlJc w:val="left"/>
      <w:pPr>
        <w:tabs>
          <w:tab w:val="num" w:pos="360"/>
        </w:tabs>
      </w:pPr>
    </w:lvl>
    <w:lvl w:ilvl="2" w:tplc="CE320926">
      <w:numFmt w:val="none"/>
      <w:lvlText w:val=""/>
      <w:lvlJc w:val="left"/>
      <w:pPr>
        <w:tabs>
          <w:tab w:val="num" w:pos="360"/>
        </w:tabs>
      </w:pPr>
    </w:lvl>
    <w:lvl w:ilvl="3" w:tplc="76F8A272">
      <w:numFmt w:val="none"/>
      <w:lvlText w:val=""/>
      <w:lvlJc w:val="left"/>
      <w:pPr>
        <w:tabs>
          <w:tab w:val="num" w:pos="360"/>
        </w:tabs>
      </w:pPr>
    </w:lvl>
    <w:lvl w:ilvl="4" w:tplc="62A85E38">
      <w:numFmt w:val="none"/>
      <w:lvlText w:val=""/>
      <w:lvlJc w:val="left"/>
      <w:pPr>
        <w:tabs>
          <w:tab w:val="num" w:pos="360"/>
        </w:tabs>
      </w:pPr>
    </w:lvl>
    <w:lvl w:ilvl="5" w:tplc="E03C169C">
      <w:numFmt w:val="none"/>
      <w:lvlText w:val=""/>
      <w:lvlJc w:val="left"/>
      <w:pPr>
        <w:tabs>
          <w:tab w:val="num" w:pos="360"/>
        </w:tabs>
      </w:pPr>
    </w:lvl>
    <w:lvl w:ilvl="6" w:tplc="DF5ED9E6">
      <w:numFmt w:val="none"/>
      <w:lvlText w:val=""/>
      <w:lvlJc w:val="left"/>
      <w:pPr>
        <w:tabs>
          <w:tab w:val="num" w:pos="360"/>
        </w:tabs>
      </w:pPr>
    </w:lvl>
    <w:lvl w:ilvl="7" w:tplc="045A2D16">
      <w:numFmt w:val="none"/>
      <w:lvlText w:val=""/>
      <w:lvlJc w:val="left"/>
      <w:pPr>
        <w:tabs>
          <w:tab w:val="num" w:pos="360"/>
        </w:tabs>
      </w:pPr>
    </w:lvl>
    <w:lvl w:ilvl="8" w:tplc="12968292">
      <w:numFmt w:val="none"/>
      <w:lvlText w:val=""/>
      <w:lvlJc w:val="left"/>
      <w:pPr>
        <w:tabs>
          <w:tab w:val="num" w:pos="360"/>
        </w:tabs>
      </w:pPr>
    </w:lvl>
  </w:abstractNum>
  <w:abstractNum w:abstractNumId="1">
    <w:nsid w:val="01A009B1"/>
    <w:multiLevelType w:val="hybridMultilevel"/>
    <w:tmpl w:val="E8D253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A54093"/>
    <w:multiLevelType w:val="hybridMultilevel"/>
    <w:tmpl w:val="BB9A7EF2"/>
    <w:lvl w:ilvl="0" w:tplc="FCE68F08">
      <w:start w:val="1"/>
      <w:numFmt w:val="lowerLetter"/>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nsid w:val="10EF48BA"/>
    <w:multiLevelType w:val="multilevel"/>
    <w:tmpl w:val="A9ACBDF2"/>
    <w:lvl w:ilvl="0">
      <w:start w:val="4"/>
      <w:numFmt w:val="decimal"/>
      <w:lvlText w:val="%1.0"/>
      <w:lvlJc w:val="left"/>
      <w:pPr>
        <w:tabs>
          <w:tab w:val="num" w:pos="1440"/>
        </w:tabs>
        <w:ind w:left="1440" w:hanging="720"/>
      </w:pPr>
      <w:rPr>
        <w:rFonts w:hint="default"/>
        <w:b w:val="0"/>
      </w:rPr>
    </w:lvl>
    <w:lvl w:ilvl="1">
      <w:start w:val="1"/>
      <w:numFmt w:val="decimal"/>
      <w:lvlText w:val="%1.%2"/>
      <w:lvlJc w:val="left"/>
      <w:pPr>
        <w:tabs>
          <w:tab w:val="num" w:pos="2160"/>
        </w:tabs>
        <w:ind w:left="2160" w:hanging="720"/>
      </w:pPr>
      <w:rPr>
        <w:rFonts w:hint="default"/>
        <w:b w:val="0"/>
      </w:rPr>
    </w:lvl>
    <w:lvl w:ilvl="2">
      <w:start w:val="1"/>
      <w:numFmt w:val="decimal"/>
      <w:lvlText w:val="%1.%2.%3"/>
      <w:lvlJc w:val="left"/>
      <w:pPr>
        <w:tabs>
          <w:tab w:val="num" w:pos="2880"/>
        </w:tabs>
        <w:ind w:left="2880" w:hanging="720"/>
      </w:pPr>
      <w:rPr>
        <w:rFonts w:hint="default"/>
        <w:b w:val="0"/>
      </w:rPr>
    </w:lvl>
    <w:lvl w:ilvl="3">
      <w:start w:val="1"/>
      <w:numFmt w:val="decimal"/>
      <w:lvlText w:val="%1.%2.%3.%4"/>
      <w:lvlJc w:val="left"/>
      <w:pPr>
        <w:tabs>
          <w:tab w:val="num" w:pos="3600"/>
        </w:tabs>
        <w:ind w:left="3600" w:hanging="720"/>
      </w:pPr>
      <w:rPr>
        <w:rFonts w:hint="default"/>
        <w:b w:val="0"/>
      </w:rPr>
    </w:lvl>
    <w:lvl w:ilvl="4">
      <w:start w:val="1"/>
      <w:numFmt w:val="decimal"/>
      <w:lvlText w:val="%1.%2.%3.%4.%5"/>
      <w:lvlJc w:val="left"/>
      <w:pPr>
        <w:tabs>
          <w:tab w:val="num" w:pos="4680"/>
        </w:tabs>
        <w:ind w:left="4680" w:hanging="1080"/>
      </w:pPr>
      <w:rPr>
        <w:rFonts w:hint="default"/>
        <w:b w:val="0"/>
      </w:rPr>
    </w:lvl>
    <w:lvl w:ilvl="5">
      <w:start w:val="1"/>
      <w:numFmt w:val="decimal"/>
      <w:lvlText w:val="%1.%2.%3.%4.%5.%6"/>
      <w:lvlJc w:val="left"/>
      <w:pPr>
        <w:tabs>
          <w:tab w:val="num" w:pos="5400"/>
        </w:tabs>
        <w:ind w:left="5400" w:hanging="1080"/>
      </w:pPr>
      <w:rPr>
        <w:rFonts w:hint="default"/>
        <w:b w:val="0"/>
      </w:rPr>
    </w:lvl>
    <w:lvl w:ilvl="6">
      <w:start w:val="1"/>
      <w:numFmt w:val="decimal"/>
      <w:lvlText w:val="%1.%2.%3.%4.%5.%6.%7"/>
      <w:lvlJc w:val="left"/>
      <w:pPr>
        <w:tabs>
          <w:tab w:val="num" w:pos="6480"/>
        </w:tabs>
        <w:ind w:left="6480" w:hanging="1440"/>
      </w:pPr>
      <w:rPr>
        <w:rFonts w:hint="default"/>
        <w:b w:val="0"/>
      </w:rPr>
    </w:lvl>
    <w:lvl w:ilvl="7">
      <w:start w:val="1"/>
      <w:numFmt w:val="decimal"/>
      <w:lvlText w:val="%1.%2.%3.%4.%5.%6.%7.%8"/>
      <w:lvlJc w:val="left"/>
      <w:pPr>
        <w:tabs>
          <w:tab w:val="num" w:pos="7200"/>
        </w:tabs>
        <w:ind w:left="7200" w:hanging="1440"/>
      </w:pPr>
      <w:rPr>
        <w:rFonts w:hint="default"/>
        <w:b w:val="0"/>
      </w:rPr>
    </w:lvl>
    <w:lvl w:ilvl="8">
      <w:start w:val="1"/>
      <w:numFmt w:val="decimal"/>
      <w:lvlText w:val="%1.%2.%3.%4.%5.%6.%7.%8.%9"/>
      <w:lvlJc w:val="left"/>
      <w:pPr>
        <w:tabs>
          <w:tab w:val="num" w:pos="8280"/>
        </w:tabs>
        <w:ind w:left="8280" w:hanging="1800"/>
      </w:pPr>
      <w:rPr>
        <w:rFonts w:hint="default"/>
        <w:b w:val="0"/>
      </w:rPr>
    </w:lvl>
  </w:abstractNum>
  <w:abstractNum w:abstractNumId="4">
    <w:nsid w:val="1B8C01B0"/>
    <w:multiLevelType w:val="hybridMultilevel"/>
    <w:tmpl w:val="DFF43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421722"/>
    <w:multiLevelType w:val="hybridMultilevel"/>
    <w:tmpl w:val="07DAA386"/>
    <w:lvl w:ilvl="0" w:tplc="DAAC7D4A">
      <w:start w:val="1"/>
      <w:numFmt w:val="lowerRoman"/>
      <w:lvlText w:val="%1."/>
      <w:lvlJc w:val="left"/>
      <w:pPr>
        <w:ind w:left="1440" w:hanging="72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nsid w:val="26762513"/>
    <w:multiLevelType w:val="hybridMultilevel"/>
    <w:tmpl w:val="FC9C74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E1030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D194D2C"/>
    <w:multiLevelType w:val="multilevel"/>
    <w:tmpl w:val="A5E4B202"/>
    <w:lvl w:ilvl="0">
      <w:start w:val="6"/>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30A444EC"/>
    <w:multiLevelType w:val="hybridMultilevel"/>
    <w:tmpl w:val="E8D253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5D3B91"/>
    <w:multiLevelType w:val="hybridMultilevel"/>
    <w:tmpl w:val="32925A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BD28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87C7671"/>
    <w:multiLevelType w:val="hybridMultilevel"/>
    <w:tmpl w:val="59E89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92C6090"/>
    <w:multiLevelType w:val="multilevel"/>
    <w:tmpl w:val="59F0E594"/>
    <w:lvl w:ilvl="0">
      <w:start w:val="17"/>
      <w:numFmt w:val="decimal"/>
      <w:lvlText w:val="%1."/>
      <w:lvlJc w:val="left"/>
      <w:pPr>
        <w:ind w:left="576" w:hanging="576"/>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nsid w:val="500D3FE8"/>
    <w:multiLevelType w:val="hybridMultilevel"/>
    <w:tmpl w:val="27206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14934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33F6962"/>
    <w:multiLevelType w:val="hybridMultilevel"/>
    <w:tmpl w:val="3402996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nsid w:val="58877048"/>
    <w:multiLevelType w:val="hybridMultilevel"/>
    <w:tmpl w:val="8B12B676"/>
    <w:lvl w:ilvl="0" w:tplc="6AD860BA">
      <w:numFmt w:val="bullet"/>
      <w:lvlText w:val="•"/>
      <w:lvlJc w:val="left"/>
      <w:pPr>
        <w:ind w:left="1512" w:hanging="360"/>
      </w:pPr>
      <w:rPr>
        <w:rFonts w:ascii="Calibri" w:eastAsia="Times New Roman" w:hAnsi="Calibri" w:cs="Arial" w:hint="default"/>
      </w:rPr>
    </w:lvl>
    <w:lvl w:ilvl="1" w:tplc="48090003" w:tentative="1">
      <w:start w:val="1"/>
      <w:numFmt w:val="bullet"/>
      <w:lvlText w:val="o"/>
      <w:lvlJc w:val="left"/>
      <w:pPr>
        <w:ind w:left="2016" w:hanging="360"/>
      </w:pPr>
      <w:rPr>
        <w:rFonts w:ascii="Courier New" w:hAnsi="Courier New" w:cs="Courier New" w:hint="default"/>
      </w:rPr>
    </w:lvl>
    <w:lvl w:ilvl="2" w:tplc="48090005" w:tentative="1">
      <w:start w:val="1"/>
      <w:numFmt w:val="bullet"/>
      <w:lvlText w:val=""/>
      <w:lvlJc w:val="left"/>
      <w:pPr>
        <w:ind w:left="2736" w:hanging="360"/>
      </w:pPr>
      <w:rPr>
        <w:rFonts w:ascii="Wingdings" w:hAnsi="Wingdings" w:hint="default"/>
      </w:rPr>
    </w:lvl>
    <w:lvl w:ilvl="3" w:tplc="48090001" w:tentative="1">
      <w:start w:val="1"/>
      <w:numFmt w:val="bullet"/>
      <w:lvlText w:val=""/>
      <w:lvlJc w:val="left"/>
      <w:pPr>
        <w:ind w:left="3456" w:hanging="360"/>
      </w:pPr>
      <w:rPr>
        <w:rFonts w:ascii="Symbol" w:hAnsi="Symbol" w:hint="default"/>
      </w:rPr>
    </w:lvl>
    <w:lvl w:ilvl="4" w:tplc="48090003" w:tentative="1">
      <w:start w:val="1"/>
      <w:numFmt w:val="bullet"/>
      <w:lvlText w:val="o"/>
      <w:lvlJc w:val="left"/>
      <w:pPr>
        <w:ind w:left="4176" w:hanging="360"/>
      </w:pPr>
      <w:rPr>
        <w:rFonts w:ascii="Courier New" w:hAnsi="Courier New" w:cs="Courier New" w:hint="default"/>
      </w:rPr>
    </w:lvl>
    <w:lvl w:ilvl="5" w:tplc="48090005" w:tentative="1">
      <w:start w:val="1"/>
      <w:numFmt w:val="bullet"/>
      <w:lvlText w:val=""/>
      <w:lvlJc w:val="left"/>
      <w:pPr>
        <w:ind w:left="4896" w:hanging="360"/>
      </w:pPr>
      <w:rPr>
        <w:rFonts w:ascii="Wingdings" w:hAnsi="Wingdings" w:hint="default"/>
      </w:rPr>
    </w:lvl>
    <w:lvl w:ilvl="6" w:tplc="48090001" w:tentative="1">
      <w:start w:val="1"/>
      <w:numFmt w:val="bullet"/>
      <w:lvlText w:val=""/>
      <w:lvlJc w:val="left"/>
      <w:pPr>
        <w:ind w:left="5616" w:hanging="360"/>
      </w:pPr>
      <w:rPr>
        <w:rFonts w:ascii="Symbol" w:hAnsi="Symbol" w:hint="default"/>
      </w:rPr>
    </w:lvl>
    <w:lvl w:ilvl="7" w:tplc="48090003" w:tentative="1">
      <w:start w:val="1"/>
      <w:numFmt w:val="bullet"/>
      <w:lvlText w:val="o"/>
      <w:lvlJc w:val="left"/>
      <w:pPr>
        <w:ind w:left="6336" w:hanging="360"/>
      </w:pPr>
      <w:rPr>
        <w:rFonts w:ascii="Courier New" w:hAnsi="Courier New" w:cs="Courier New" w:hint="default"/>
      </w:rPr>
    </w:lvl>
    <w:lvl w:ilvl="8" w:tplc="48090005" w:tentative="1">
      <w:start w:val="1"/>
      <w:numFmt w:val="bullet"/>
      <w:lvlText w:val=""/>
      <w:lvlJc w:val="left"/>
      <w:pPr>
        <w:ind w:left="7056" w:hanging="360"/>
      </w:pPr>
      <w:rPr>
        <w:rFonts w:ascii="Wingdings" w:hAnsi="Wingdings" w:hint="default"/>
      </w:rPr>
    </w:lvl>
  </w:abstractNum>
  <w:abstractNum w:abstractNumId="18">
    <w:nsid w:val="59654290"/>
    <w:multiLevelType w:val="hybridMultilevel"/>
    <w:tmpl w:val="5576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0B1242"/>
    <w:multiLevelType w:val="multilevel"/>
    <w:tmpl w:val="8A8CA974"/>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5EB0591C"/>
    <w:multiLevelType w:val="hybridMultilevel"/>
    <w:tmpl w:val="591E352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nsid w:val="5EE013D5"/>
    <w:multiLevelType w:val="hybridMultilevel"/>
    <w:tmpl w:val="CF6E49EE"/>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2">
    <w:nsid w:val="6F6A0E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EF71A00"/>
    <w:multiLevelType w:val="hybridMultilevel"/>
    <w:tmpl w:val="67964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6"/>
  </w:num>
  <w:num w:numId="3">
    <w:abstractNumId w:val="10"/>
  </w:num>
  <w:num w:numId="4">
    <w:abstractNumId w:val="11"/>
  </w:num>
  <w:num w:numId="5">
    <w:abstractNumId w:val="19"/>
  </w:num>
  <w:num w:numId="6">
    <w:abstractNumId w:val="22"/>
  </w:num>
  <w:num w:numId="7">
    <w:abstractNumId w:val="4"/>
  </w:num>
  <w:num w:numId="8">
    <w:abstractNumId w:val="7"/>
  </w:num>
  <w:num w:numId="9">
    <w:abstractNumId w:val="15"/>
  </w:num>
  <w:num w:numId="10">
    <w:abstractNumId w:val="21"/>
  </w:num>
  <w:num w:numId="11">
    <w:abstractNumId w:val="20"/>
  </w:num>
  <w:num w:numId="12">
    <w:abstractNumId w:val="5"/>
  </w:num>
  <w:num w:numId="13">
    <w:abstractNumId w:val="8"/>
  </w:num>
  <w:num w:numId="14">
    <w:abstractNumId w:val="17"/>
  </w:num>
  <w:num w:numId="15">
    <w:abstractNumId w:val="16"/>
  </w:num>
  <w:num w:numId="16">
    <w:abstractNumId w:val="0"/>
  </w:num>
  <w:num w:numId="17">
    <w:abstractNumId w:val="3"/>
  </w:num>
  <w:num w:numId="18">
    <w:abstractNumId w:val="12"/>
  </w:num>
  <w:num w:numId="19">
    <w:abstractNumId w:val="23"/>
  </w:num>
  <w:num w:numId="20">
    <w:abstractNumId w:val="14"/>
  </w:num>
  <w:num w:numId="21">
    <w:abstractNumId w:val="2"/>
  </w:num>
  <w:num w:numId="22">
    <w:abstractNumId w:val="13"/>
  </w:num>
  <w:num w:numId="23">
    <w:abstractNumId w:val="9"/>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Category1" w:val="99999"/>
    <w:docVar w:name="DocCategory2" w:val="00092"/>
    <w:docVar w:name="DocIDAuthor" w:val="False"/>
    <w:docVar w:name="DocIDClientMatter" w:val="False"/>
    <w:docVar w:name="DocIDDate" w:val="False"/>
    <w:docVar w:name="DocIDLibrary" w:val="True"/>
    <w:docVar w:name="DocIDType" w:val="AllPages"/>
    <w:docVar w:name="DocIDTypist" w:val="False"/>
    <w:docVar w:name="LegacyDocIDRemoved" w:val="True"/>
  </w:docVar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SG"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000FF" w:themeColor="hyperlink"/>
      <w:u w:val="single"/>
    </w:rPr>
  </w:style>
  <w:style w:type="paragraph" w:styleId="BodyText">
    <w:name w:val="Body Text"/>
    <w:basedOn w:val="Normal"/>
    <w:link w:val="BodyTextChar"/>
    <w:pPr>
      <w:spacing w:after="240" w:line="240" w:lineRule="atLeast"/>
      <w:ind w:firstLine="360"/>
      <w:jc w:val="both"/>
    </w:pPr>
    <w:rPr>
      <w:rFonts w:ascii="Garamond" w:eastAsia="Times New Roman" w:hAnsi="Garamond" w:cs="Times New Roman"/>
      <w:sz w:val="22"/>
      <w:szCs w:val="20"/>
      <w:lang w:val="en-US"/>
    </w:rPr>
  </w:style>
  <w:style w:type="character" w:customStyle="1" w:styleId="BodyTextChar">
    <w:name w:val="Body Text Char"/>
    <w:basedOn w:val="DefaultParagraphFont"/>
    <w:link w:val="BodyText"/>
    <w:rPr>
      <w:rFonts w:ascii="Garamond" w:eastAsia="Times New Roman" w:hAnsi="Garamond" w:cs="Times New Roman"/>
      <w:sz w:val="22"/>
      <w:szCs w:val="20"/>
      <w:lang w:val="en-US"/>
    </w:rPr>
  </w:style>
  <w:style w:type="paragraph" w:styleId="NoSpacing">
    <w:name w:val="No Spacing"/>
    <w:uiPriority w:val="1"/>
    <w:qFormat/>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DocID">
    <w:name w:val="DocID"/>
    <w:basedOn w:val="DefaultParagraphFont"/>
    <w:rPr>
      <w:rFonts w:ascii="Times New Roman" w:hAnsi="Times New Roman" w:cs="Times New Roman"/>
      <w:b w:val="0"/>
      <w:i w:val="0"/>
      <w:caps w:val="0"/>
      <w:vanish w:val="0"/>
      <w:color w:val="000000"/>
      <w:sz w:val="14"/>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SG"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000FF" w:themeColor="hyperlink"/>
      <w:u w:val="single"/>
    </w:rPr>
  </w:style>
  <w:style w:type="paragraph" w:styleId="BodyText">
    <w:name w:val="Body Text"/>
    <w:basedOn w:val="Normal"/>
    <w:link w:val="BodyTextChar"/>
    <w:pPr>
      <w:spacing w:after="240" w:line="240" w:lineRule="atLeast"/>
      <w:ind w:firstLine="360"/>
      <w:jc w:val="both"/>
    </w:pPr>
    <w:rPr>
      <w:rFonts w:ascii="Garamond" w:eastAsia="Times New Roman" w:hAnsi="Garamond" w:cs="Times New Roman"/>
      <w:sz w:val="22"/>
      <w:szCs w:val="20"/>
      <w:lang w:val="en-US"/>
    </w:rPr>
  </w:style>
  <w:style w:type="character" w:customStyle="1" w:styleId="BodyTextChar">
    <w:name w:val="Body Text Char"/>
    <w:basedOn w:val="DefaultParagraphFont"/>
    <w:link w:val="BodyText"/>
    <w:rPr>
      <w:rFonts w:ascii="Garamond" w:eastAsia="Times New Roman" w:hAnsi="Garamond" w:cs="Times New Roman"/>
      <w:sz w:val="22"/>
      <w:szCs w:val="20"/>
      <w:lang w:val="en-US"/>
    </w:rPr>
  </w:style>
  <w:style w:type="paragraph" w:styleId="NoSpacing">
    <w:name w:val="No Spacing"/>
    <w:uiPriority w:val="1"/>
    <w:qFormat/>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DocID">
    <w:name w:val="DocID"/>
    <w:basedOn w:val="DefaultParagraphFont"/>
    <w:rPr>
      <w:rFonts w:ascii="Times New Roman" w:hAnsi="Times New Roman" w:cs="Times New Roman"/>
      <w:b w:val="0"/>
      <w:i w:val="0"/>
      <w:caps w:val="0"/>
      <w:vanish w:val="0"/>
      <w:color w:val="000000"/>
      <w:sz w:val="1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030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info@style.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15EEC-F172-43F6-B0BA-ACC291D9A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9159</Words>
  <Characters>52211</Characters>
  <Application>Microsoft Office Word</Application>
  <DocSecurity>4</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Salas</dc:creator>
  <cp:lastModifiedBy>Babita Ambekar</cp:lastModifiedBy>
  <cp:revision>2</cp:revision>
  <cp:lastPrinted>2015-10-01T09:04:00Z</cp:lastPrinted>
  <dcterms:created xsi:type="dcterms:W3CDTF">2017-04-07T09:39:00Z</dcterms:created>
  <dcterms:modified xsi:type="dcterms:W3CDTF">2017-04-07T09:39:00Z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DM3\4559839.1</vt:lpwstr>
  </property>
</Properties>
</file>