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mo="http://schemas.microsoft.com/office/mac/office/2008/main" xmlns:wpc="http://schemas.microsoft.com/office/word/2010/wordprocessingCanvas" xmlns:cx="http://schemas.microsoft.com/office/drawing/2014/chartex" xmlns:cx1="http://schemas.microsoft.com/office/drawing/2015/9/8/chartex"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ve:Ignorable="mv w14 w15 w16se wp14" ve:PreserveAttributes="mv:*">
  <w:body>
    <w:p>
      <w:pPr>
        <w:pStyle w:val="Textoindependiente"/>
        <w:spacing w:line="285" w:lineRule="auto"/>
        <w:ind w:right="188"/>
        <w:jc w:val="both"/>
      </w:pPr>
      <w:r>
        <w:rPr>
          <w:rFonts w:ascii="Arial MT"/>
          <w:b w:val="0"/>
          <w:i w:val="0"/>
          <w:strike w:val="0"/>
          <w:dstrike w:val="0"/>
          <w:emboss w:val="0"/>
          <w:imprint w:val="0"/>
          <w:outline w:val="0"/>
          <w:shadow w:val="0"/>
          <w:sz w:val="22"/>
          <w:szCs w:val="22"/>
          <w:u w:val="none"/>
        </w:rPr>
        <w:drawing>
          <wp:anchor simplePos="0" relativeHeight="251654144" behindDoc="0" locked="0" layoutInCell="1" allowOverlap="1">
            <wp:simplePos x="0" y="0"/>
            <wp:positionH relativeFrom="column">
              <wp:posOffset>4754012</wp:posOffset>
            </wp:positionH>
            <wp:positionV relativeFrom="paragraph">
              <wp:posOffset>-202564</wp:posOffset>
            </wp:positionV>
            <wp:extent cx="1251579" cy="1253490"/>
            <wp:effectExtent l="133350" t="76200" r="81915" b="137160"/>
            <wp:wrapThrough wrapText="bothSides">
              <wp:wrapPolygon edited="0">
                <wp:start x="7233" y="-1313"/>
                <wp:lineTo x="-329" y="-657"/>
                <wp:lineTo x="-329" y="4596"/>
                <wp:lineTo x="-2301" y="4596"/>
                <wp:lineTo x="-1973" y="17726"/>
                <wp:lineTo x="1644" y="20353"/>
                <wp:lineTo x="6575" y="22979"/>
                <wp:lineTo x="6904" y="23635"/>
                <wp:lineTo x="13151" y="23635"/>
                <wp:lineTo x="13479" y="22979"/>
                <wp:lineTo x="18740" y="20353"/>
                <wp:lineTo x="19068" y="20353"/>
                <wp:lineTo x="22027" y="15100"/>
                <wp:lineTo x="22685" y="9848"/>
                <wp:lineTo x="21370" y="3283"/>
                <wp:lineTo x="15123" y="-657"/>
                <wp:lineTo x="12822" y="-1313"/>
                <wp:lineTo x="7233" y="-1313"/>
              </wp:wrapPolygon>
            </wp:wrapThrough>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4" cstate="print">
                      <a:extLst>
                        <a:ext uri="{28A0092B-C50C-407E-A947-70E740481C1C}">
                          <a14:useLocalDpi xmlns:a14="http://schemas.microsoft.com/office/drawing/2010/main" val="0"/>
                        </a:ext>
                      </a:extLst>
                    </a:blip>
                    <a:stretch>
                      <a:fillRect/>
                    </a:stretch>
                  </pic:blipFill>
                  <pic:spPr>
                    <a:xfrm>
                      <a:off x="0" y="0"/>
                      <a:ext cx="1251585" cy="125349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anchor>
        </w:drawing>
      </w:r>
    </w:p>
    <w:p>
      <w:pPr>
        <w:pStyle w:val="Textoindependiente"/>
        <w:spacing w:line="285" w:lineRule="auto"/>
        <w:ind w:right="188"/>
        <w:jc w:val="center"/>
        <w:rPr>
          <w:color w:val="000000" w:themeColor="text1"/>
          <w:b/>
          <w:bCs/>
          <w:sz w:val="40"/>
          <w:szCs w:val="40"/>
        </w:rPr>
      </w:pPr>
      <w:r>
        <w:rPr>
          <w:color w:val="000000"/>
          <w:rFonts w:ascii="Arial MT"/>
          <w:b/>
          <w:bCs/>
          <w:i w:val="0"/>
          <w:strike w:val="0"/>
          <w:dstrike w:val="0"/>
          <w:emboss w:val="0"/>
          <w:imprint w:val="0"/>
          <w:outline w:val="0"/>
          <w:shadow w:val="0"/>
          <w:sz w:val="40"/>
          <w:szCs w:val="40"/>
          <w:u w:val="none"/>
        </w:rPr>
        <w:t xml:space="preserve">              Cuestionario</w:t>
      </w:r>
    </w:p>
    <w:p>
      <w:pPr>
        <w:pStyle w:val="Textoindependiente"/>
        <w:spacing w:line="285" w:lineRule="auto"/>
        <w:ind w:right="188"/>
        <w:rPr>
          <w:rFonts w:hAnsiTheme="majorHAnsi" w:asciiTheme="majorHAnsi"/>
          <w:sz w:val="32"/>
          <w:szCs w:val="32"/>
        </w:rPr>
      </w:pPr>
      <w:r>
        <w:rPr>
          <w:rFonts w:ascii="Arial MT"/>
          <w:b w:val="0"/>
          <w:i w:val="0"/>
          <w:strike w:val="0"/>
          <w:dstrike w:val="0"/>
          <w:emboss w:val="0"/>
          <w:imprint w:val="0"/>
          <w:outline w:val="0"/>
          <w:shadow w:val="0"/>
          <w:sz w:val="32"/>
          <w:szCs w:val="32"/>
          <w:u w:val="none"/>
        </w:rPr>
        <w:t xml:space="preserve">                                     </w:t>
      </w:r>
      <w:r>
        <w:rPr>
          <w:rFonts w:hAnsiTheme="majorHAnsi" w:ascii="Cambria" w:asciiTheme="majorHAnsi"/>
          <w:b w:val="0"/>
          <w:i w:val="0"/>
          <w:strike w:val="0"/>
          <w:dstrike w:val="0"/>
          <w:emboss w:val="0"/>
          <w:imprint w:val="0"/>
          <w:outline w:val="0"/>
          <w:shadow w:val="0"/>
          <w:sz w:val="32"/>
          <w:szCs w:val="32"/>
          <w:u w:val="none"/>
        </w:rPr>
        <w:t xml:space="preserve">Contabilidad II</w:t>
      </w:r>
    </w:p>
    <w:p>
      <w:pPr>
        <w:pStyle w:val="Textoindependiente"/>
        <w:spacing w:line="285" w:lineRule="auto"/>
        <w:ind w:right="188"/>
        <w:jc w:val="both"/>
      </w:pPr>
    </w:p>
    <w:p>
      <w:pPr>
        <w:pStyle w:val="Textoindependiente"/>
        <w:spacing w:line="285" w:lineRule="auto"/>
        <w:ind w:right="188"/>
        <w:jc w:val="both"/>
      </w:pPr>
    </w:p>
    <w:p>
      <w:pPr>
        <w:pStyle w:val="Textoindependiente"/>
        <w:spacing w:line="285" w:lineRule="auto"/>
        <w:ind w:right="188"/>
        <w:jc w:val="both"/>
      </w:pPr>
    </w:p>
    <w:p>
      <w:pPr>
        <w:pStyle w:val="Textoindependiente"/>
        <w:spacing w:line="285" w:lineRule="auto"/>
        <w:ind w:right="188"/>
        <w:jc w:val="both"/>
        <w:rPr>
          <w:b/>
          <w:bCs/>
          <w:sz w:val="24"/>
          <w:szCs w:val="24"/>
        </w:rPr>
      </w:pPr>
      <w:r>
        <w:rPr>
          <w:rFonts w:ascii="Arial MT"/>
          <w:b/>
          <w:bCs/>
          <w:i w:val="0"/>
          <w:strike w:val="0"/>
          <w:dstrike w:val="0"/>
          <w:emboss w:val="0"/>
          <w:imprint w:val="0"/>
          <w:outline w:val="0"/>
          <w:shadow w:val="0"/>
          <w:sz w:val="24"/>
          <w:szCs w:val="24"/>
          <w:u w:val="none"/>
        </w:rPr>
        <w:t xml:space="preserve">1. ¿Cuál es el objetivo principal de la contabilidad de costos y en qué se diferencia del propósito de la contabilidad financiera?</w:t>
      </w:r>
    </w:p>
    <w:p>
      <w:pPr>
        <w:pStyle w:val="Textoindependiente"/>
        <w:spacing w:line="285" w:lineRule="auto"/>
        <w:ind w:right="188"/>
        <w:jc w:val="both"/>
      </w:pPr>
    </w:p>
    <w:p>
      <w:pPr>
        <w:pStyle w:val="Textoindependiente"/>
        <w:spacing w:line="285" w:lineRule="auto"/>
        <w:ind w:right="188"/>
        <w:jc w:val="both"/>
      </w:pPr>
      <w:r>
        <w:rPr>
          <w:rFonts w:ascii="Arial MT"/>
          <w:b w:val="0"/>
          <w:i w:val="0"/>
          <w:strike w:val="0"/>
          <w:dstrike w:val="0"/>
          <w:emboss w:val="0"/>
          <w:imprint w:val="0"/>
          <w:outline w:val="0"/>
          <w:shadow w:val="0"/>
          <w:sz w:val="22"/>
          <w:szCs w:val="22"/>
          <w:u w:val="none"/>
        </w:rPr>
        <w:t xml:space="preserve">La contabilidad de costos existe para averiguar, con la mayor precisión posible, cuánto le cuesta a una empresa fabricar un producto o dar un servicio. Con ese dato, los gerentes pueden fijar precios justos, controlar gastos y tomar mejores decisiones dentro del negocio (por eso es de uso interno). La contabilidad financiera, en cambio, tiene un propósito distinto: mostrar hacia afuera (a bancos, inversionistas, proveedores) qué tan bien le fue a la empresa en el pasado, siguiendo reglas fijas y estandarizadas. En resumen: la de costos mira hacia adentro y hacia el "cómo se hacen las cosas"; la financiera mira hacia afuera y hacia "qué pasó".</w:t>
      </w:r>
    </w:p>
    <w:p>
      <w:pPr>
        <w:pStyle w:val="Textoindependiente"/>
        <w:spacing w:line="285" w:lineRule="auto"/>
        <w:ind w:right="188"/>
        <w:jc w:val="both"/>
      </w:pPr>
    </w:p>
    <w:p>
      <w:pPr>
        <w:pStyle w:val="Textoindependiente"/>
        <w:spacing w:line="285" w:lineRule="auto"/>
        <w:ind w:right="188"/>
        <w:jc w:val="both"/>
        <w:rPr>
          <w:b/>
          <w:bCs/>
          <w:sz w:val="24"/>
          <w:szCs w:val="24"/>
        </w:rPr>
      </w:pPr>
      <w:r>
        <w:rPr>
          <w:rFonts w:ascii="Arial MT"/>
          <w:b/>
          <w:bCs/>
          <w:i w:val="0"/>
          <w:strike w:val="0"/>
          <w:dstrike w:val="0"/>
          <w:emboss w:val="0"/>
          <w:imprint w:val="0"/>
          <w:outline w:val="0"/>
          <w:shadow w:val="0"/>
          <w:sz w:val="24"/>
          <w:szCs w:val="24"/>
          <w:u w:val="none"/>
        </w:rPr>
        <w:t xml:space="preserve">2. ¿Por qué la contabilidad administrativa no está regulada por las Normas de Información Financiera (NIF)?</w:t>
      </w:r>
    </w:p>
    <w:p>
      <w:pPr>
        <w:pStyle w:val="Textoindependiente"/>
        <w:spacing w:line="285" w:lineRule="auto"/>
        <w:ind w:right="188"/>
        <w:jc w:val="both"/>
      </w:pPr>
    </w:p>
    <w:p>
      <w:pPr>
        <w:pStyle w:val="Textoindependiente"/>
        <w:spacing w:line="285" w:lineRule="auto"/>
        <w:ind w:right="188"/>
        <w:jc w:val="both"/>
      </w:pPr>
      <w:r>
        <w:rPr>
          <w:rFonts w:ascii="Arial MT"/>
          <w:b w:val="0"/>
          <w:i w:val="0"/>
          <w:strike w:val="0"/>
          <w:dstrike w:val="0"/>
          <w:emboss w:val="0"/>
          <w:imprint w:val="0"/>
          <w:outline w:val="0"/>
          <w:shadow w:val="0"/>
          <w:sz w:val="22"/>
          <w:szCs w:val="22"/>
          <w:u w:val="none"/>
        </w:rPr>
        <w:t xml:space="preserve">Porque la contabilidad administrativa se usa solo dentro de la empresa: la utilizan los gerentes para planear, controlar y decidir, no personas externas como el banco o los accionistas. Como nadie de afuera necesita revisarla ni compararla con la de otra empresa, no hace falta que siga un formato obligatorio. Cada empresa puede diseñar sus reportes administrativos como más le convenga (tablas, gráficas, indicadores propios), según lo que sus gerentes necesiten saber para tomar decisiones.</w:t>
      </w:r>
    </w:p>
    <w:p>
      <w:pPr>
        <w:pStyle w:val="Textoindependiente"/>
        <w:spacing w:line="285" w:lineRule="auto"/>
        <w:ind w:right="188"/>
        <w:jc w:val="both"/>
        <w:rPr>
          <w:b/>
          <w:bCs/>
          <w:sz w:val="24"/>
          <w:szCs w:val="24"/>
        </w:rPr>
      </w:pPr>
    </w:p>
    <w:p>
      <w:pPr>
        <w:pStyle w:val="Textoindependiente"/>
        <w:spacing w:line="285" w:lineRule="auto"/>
        <w:ind w:right="188"/>
        <w:jc w:val="both"/>
        <w:rPr>
          <w:b/>
          <w:bCs/>
          <w:sz w:val="24"/>
          <w:szCs w:val="24"/>
        </w:rPr>
      </w:pPr>
    </w:p>
    <w:p>
      <w:pPr>
        <w:pStyle w:val="Textoindependiente"/>
        <w:spacing w:line="285" w:lineRule="auto"/>
        <w:ind w:right="188"/>
        <w:jc w:val="both"/>
        <w:rPr>
          <w:b/>
          <w:bCs/>
          <w:sz w:val="24"/>
          <w:szCs w:val="24"/>
        </w:rPr>
      </w:pPr>
      <w:r>
        <w:rPr>
          <w:rFonts w:ascii="Arial MT"/>
          <w:b/>
          <w:bCs/>
          <w:i w:val="0"/>
          <w:strike w:val="0"/>
          <w:dstrike w:val="0"/>
          <w:emboss w:val="0"/>
          <w:imprint w:val="0"/>
          <w:outline w:val="0"/>
          <w:shadow w:val="0"/>
          <w:sz w:val="24"/>
          <w:szCs w:val="24"/>
          <w:u w:val="none"/>
        </w:rPr>
        <w:t xml:space="preserve">3. En el marco de la contabilidad fiscal, ¿qué ocurre si un costo de producción registrado contablemente no cumple con los requisitos de deducibilidad de la ley tributaria?</w:t>
      </w:r>
    </w:p>
    <w:p>
      <w:pPr>
        <w:pStyle w:val="Textoindependiente"/>
        <w:spacing w:line="285" w:lineRule="auto"/>
        <w:ind w:right="188"/>
        <w:jc w:val="both"/>
        <w:rPr>
          <w:b/>
          <w:bCs/>
          <w:sz w:val="24"/>
          <w:szCs w:val="24"/>
        </w:rPr>
      </w:pPr>
    </w:p>
    <w:p>
      <w:pPr>
        <w:pStyle w:val="Textoindependiente"/>
        <w:spacing w:line="285" w:lineRule="auto"/>
        <w:ind w:right="188"/>
        <w:jc w:val="both"/>
      </w:pPr>
      <w:r>
        <w:rPr>
          <w:rFonts w:ascii="Arial MT"/>
          <w:b w:val="0"/>
          <w:i w:val="0"/>
          <w:strike w:val="0"/>
          <w:dstrike w:val="0"/>
          <w:emboss w:val="0"/>
          <w:imprint w:val="0"/>
          <w:outline w:val="0"/>
          <w:shadow w:val="0"/>
          <w:sz w:val="22"/>
          <w:szCs w:val="22"/>
          <w:u w:val="none"/>
        </w:rPr>
        <w:t xml:space="preserve">Puede pasar que un gasto sí sea real y esté bien registrado en la contabilidad de la empresa, pero que la ley de impuestos no permita restarlo (deducirlo) al momento de calcular cuánto impuesto se debe pagar (por ejemplo, si falta una factura válida o el gasto no está relacionado con el negocio). Cuando eso ocurre, ese costo se debe "sumar de nuevo" en la declaración de impuestos, en un proceso llamado conciliación fiscal. El resultado es que la utilidad contable (la que aparece en los libros de la empresa) y la utilidad fiscal (sobre la que se calcula el impuesto) terminan siendo diferentes, y la empresa paga impuesto sobre una utilidad más alta.</w:t>
      </w:r>
    </w:p>
    <w:p>
      <w:pPr>
        <w:pStyle w:val="Textoindependiente"/>
        <w:spacing w:line="285" w:lineRule="auto"/>
        <w:ind w:right="188"/>
        <w:jc w:val="both"/>
      </w:pPr>
    </w:p>
    <w:p>
      <w:pPr>
        <w:pStyle w:val="Textoindependiente"/>
        <w:spacing w:line="285" w:lineRule="auto"/>
        <w:ind w:right="188"/>
        <w:jc w:val="both"/>
      </w:pPr>
    </w:p>
    <w:p>
      <w:pPr>
        <w:pStyle w:val="Textoindependiente"/>
        <w:spacing w:line="285" w:lineRule="auto"/>
        <w:ind w:right="188"/>
        <w:jc w:val="both"/>
      </w:pPr>
    </w:p>
    <w:p>
      <w:pPr>
        <w:pStyle w:val="Textoindependiente"/>
        <w:spacing w:line="285" w:lineRule="auto"/>
        <w:ind w:right="188"/>
        <w:jc w:val="both"/>
        <w:rPr>
          <w:color w:val="000000" w:themeColor="text1"/>
          <w:b/>
          <w:bCs/>
          <w:sz w:val="24"/>
          <w:szCs w:val="24"/>
        </w:rPr>
      </w:pPr>
      <w:r>
        <w:rPr>
          <w:color w:val="000000"/>
          <w:rFonts w:ascii="Arial MT"/>
          <w:b/>
          <w:bCs/>
          <w:i w:val="0"/>
          <w:strike w:val="0"/>
          <w:dstrike w:val="0"/>
          <w:emboss w:val="0"/>
          <w:imprint w:val="0"/>
          <w:outline w:val="0"/>
          <w:shadow w:val="0"/>
          <w:sz w:val="24"/>
          <w:szCs w:val="24"/>
          <w:u w:val="none"/>
        </w:rPr>
        <w:lastRenderedPageBreak/>
        <w:t xml:space="preserve">4. ¿Qué es el "costeo objetivo" (Target Costing) y cómo invierte la fórmula tradicional de fijación de precios?</w:t>
      </w:r>
    </w:p>
    <w:p>
      <w:pPr>
        <w:pStyle w:val="Textoindependiente"/>
        <w:spacing w:line="285" w:lineRule="auto"/>
        <w:ind w:right="188"/>
        <w:jc w:val="both"/>
      </w:pPr>
    </w:p>
    <w:p>
      <w:pPr>
        <w:pStyle w:val="Textoindependiente"/>
        <w:spacing w:line="285" w:lineRule="auto"/>
        <w:ind w:right="188"/>
        <w:jc w:val="both"/>
      </w:pPr>
      <w:r>
        <w:rPr>
          <w:rFonts w:ascii="Arial MT"/>
          <w:b w:val="0"/>
          <w:i w:val="0"/>
          <w:strike w:val="0"/>
          <w:dstrike w:val="0"/>
          <w:emboss w:val="0"/>
          <w:imprint w:val="0"/>
          <w:outline w:val="0"/>
          <w:shadow w:val="0"/>
          <w:sz w:val="22"/>
          <w:szCs w:val="22"/>
          <w:u w:val="none"/>
        </w:rPr>
        <w:t xml:space="preserve">Tradicionalmente las empresas calculaban el precio de venta así: Costo + Utilidad deseada = Precio de venta. Es decir, primero se sabía cuánto costaba producir algo y luego se le sumaba la ganancia. El costeo objetivo (Target Costing) da vuelta a esa fórmula: primero se investiga cuánto</w:t>
      </w:r>
    </w:p>
    <w:p>
      <w:pPr>
        <w:pStyle w:val="Textoindependiente"/>
        <w:spacing w:line="285" w:lineRule="auto"/>
        <w:ind w:right="188"/>
        <w:jc w:val="both"/>
      </w:pPr>
      <w:r>
        <w:rPr>
          <w:rFonts w:ascii="Arial MT"/>
          <w:b w:val="0"/>
          <w:i w:val="0"/>
          <w:strike w:val="0"/>
          <w:dstrike w:val="0"/>
          <w:emboss w:val="0"/>
          <w:imprint w:val="0"/>
          <w:outline w:val="0"/>
          <w:shadow w:val="0"/>
          <w:sz w:val="22"/>
          <w:szCs w:val="22"/>
          <w:u w:val="none"/>
        </w:rPr>
        <w:t xml:space="preserve"> </w:t>
      </w:r>
    </w:p>
    <w:p>
      <w:pPr>
        <w:pStyle w:val="Textoindependiente"/>
        <w:spacing w:line="285" w:lineRule="auto"/>
        <w:ind w:right="188"/>
        <w:jc w:val="both"/>
      </w:pPr>
      <w:r>
        <w:rPr>
          <w:rFonts w:ascii="Arial MT"/>
          <w:b w:val="0"/>
          <w:i w:val="0"/>
          <w:strike w:val="0"/>
          <w:dstrike w:val="0"/>
          <w:emboss w:val="0"/>
          <w:imprint w:val="0"/>
          <w:outline w:val="0"/>
          <w:shadow w:val="0"/>
          <w:sz w:val="22"/>
          <w:szCs w:val="22"/>
          <w:u w:val="none"/>
        </w:rPr>
        <w:t xml:space="preserve">está dispuesto a pagar el mercado por el producto (precio objetivo) y cuánta utilidad quiere ganar la empresa (utilidad objetivo); y con esos dos datos se calcula el costo máximo que se puede permitir tener el producto: Precio objetivo  Utilidad objetivo = Costo objetivo. Así, en lugar de fijar el precio según el costo, la empresa ajusta (o reduce) sus costos para no pasarse del costo objetivo y seguir siendo competitiva.</w:t>
      </w:r>
    </w:p>
    <w:p>
      <w:pPr>
        <w:pStyle w:val="Textoindependiente"/>
        <w:spacing w:line="285" w:lineRule="auto"/>
        <w:ind w:right="188"/>
        <w:jc w:val="both"/>
      </w:pPr>
    </w:p>
    <w:p>
      <w:pPr>
        <w:pStyle w:val="Textoindependiente"/>
        <w:spacing w:line="285" w:lineRule="auto"/>
        <w:ind w:right="188"/>
        <w:jc w:val="both"/>
        <w:rPr>
          <w:b/>
          <w:bCs/>
          <w:sz w:val="24"/>
          <w:szCs w:val="24"/>
        </w:rPr>
      </w:pPr>
      <w:r>
        <w:rPr>
          <w:rFonts w:ascii="Arial MT"/>
          <w:b/>
          <w:bCs/>
          <w:i w:val="0"/>
          <w:strike w:val="0"/>
          <w:dstrike w:val="0"/>
          <w:emboss w:val="0"/>
          <w:imprint w:val="0"/>
          <w:outline w:val="0"/>
          <w:shadow w:val="0"/>
          <w:sz w:val="24"/>
          <w:szCs w:val="24"/>
          <w:u w:val="none"/>
        </w:rPr>
        <w:t xml:space="preserve">5. ¿A qué usuarios está dirigida principalmente la contabilidad financiera y qué características debe cumplir su información?</w:t>
      </w:r>
    </w:p>
    <w:p>
      <w:pPr>
        <w:pStyle w:val="Textoindependiente"/>
        <w:spacing w:line="285" w:lineRule="auto"/>
        <w:ind w:right="188"/>
        <w:jc w:val="both"/>
      </w:pPr>
    </w:p>
    <w:p>
      <w:pPr>
        <w:pStyle w:val="Textoindependiente"/>
        <w:spacing w:line="285" w:lineRule="auto"/>
        <w:ind w:right="188"/>
        <w:jc w:val="both"/>
      </w:pPr>
      <w:r>
        <w:rPr>
          <w:rFonts w:ascii="Arial MT"/>
          <w:b w:val="0"/>
          <w:i w:val="0"/>
          <w:strike w:val="0"/>
          <w:dstrike w:val="0"/>
          <w:emboss w:val="0"/>
          <w:imprint w:val="0"/>
          <w:outline w:val="0"/>
          <w:shadow w:val="0"/>
          <w:sz w:val="22"/>
          <w:szCs w:val="22"/>
          <w:u w:val="none"/>
        </w:rPr>
        <w:t xml:space="preserve">Está dirigida principalmente a usuarios externos a la empresa: bancos, inversionistas, proveedores, socios y entidades del gobierno, que necesitan confiar en los números de la empresa sin trabajar dentro de ella. Para que esa confianza sea posible, la información financiera debe ser confiable, comparable entre empresas, verificable y estar preparada bajo normas contables reconocidas (como las NIIF), de manera que cualquier persona externa la pueda entender e interpretar de la misma forma.</w:t>
      </w:r>
    </w:p>
    <w:p>
      <w:pPr>
        <w:pStyle w:val="Textoindependiente"/>
        <w:spacing w:line="285" w:lineRule="auto"/>
        <w:ind w:right="188"/>
        <w:jc w:val="both"/>
      </w:pPr>
    </w:p>
    <w:p>
      <w:pPr>
        <w:pStyle w:val="Textoindependiente"/>
        <w:spacing w:line="285" w:lineRule="auto"/>
        <w:ind w:left="0" w:right="188"/>
        <w:jc w:val="both"/>
      </w:pPr>
    </w:p>
    <w:p>
      <w:pPr>
        <w:pStyle w:val="Textoindependiente"/>
        <w:spacing w:line="285" w:lineRule="auto"/>
        <w:ind w:right="188"/>
        <w:jc w:val="both"/>
        <w:rPr>
          <w:b/>
          <w:bCs/>
          <w:sz w:val="24"/>
          <w:szCs w:val="24"/>
        </w:rPr>
      </w:pPr>
      <w:r>
        <w:rPr>
          <w:rFonts w:ascii="Arial MT"/>
          <w:b/>
          <w:bCs/>
          <w:i w:val="0"/>
          <w:strike w:val="0"/>
          <w:dstrike w:val="0"/>
          <w:emboss w:val="0"/>
          <w:imprint w:val="0"/>
          <w:outline w:val="0"/>
          <w:shadow w:val="0"/>
          <w:sz w:val="24"/>
          <w:szCs w:val="24"/>
          <w:u w:val="none"/>
        </w:rPr>
        <w:t xml:space="preserve">6. ¿Cómo interactúa la contabilidad de costos con la contabilidad financiera al cierre de un periodo contable?</w:t>
      </w:r>
    </w:p>
    <w:p>
      <w:pPr>
        <w:pStyle w:val="Textoindependiente"/>
        <w:spacing w:line="285" w:lineRule="auto"/>
        <w:ind w:right="188"/>
        <w:jc w:val="both"/>
      </w:pPr>
    </w:p>
    <w:p>
      <w:pPr>
        <w:pStyle w:val="Textoindependiente"/>
        <w:spacing w:line="285" w:lineRule="auto"/>
        <w:ind w:right="188"/>
        <w:jc w:val="both"/>
      </w:pPr>
      <w:r>
        <w:rPr>
          <w:rFonts w:ascii="Arial MT"/>
          <w:b w:val="0"/>
          <w:i w:val="0"/>
          <w:strike w:val="0"/>
          <w:dstrike w:val="0"/>
          <w:emboss w:val="0"/>
          <w:imprint w:val="0"/>
          <w:outline w:val="0"/>
          <w:shadow w:val="0"/>
          <w:sz w:val="22"/>
          <w:szCs w:val="22"/>
          <w:u w:val="none"/>
        </w:rPr>
        <w:t xml:space="preserve">La contabilidad de costos es la que calcula, día a día, cuánto cuesta cada producto fabricado (materiales, mano de obra y costos indirectos). Cuando llega el cierre del periodo, esos datos no se quedan solo "puertas adentro": se entregan a la contabilidad financiera para armar los estados financieros oficiales. Por ejemplo, el costo de ventas que aparece en el Estado de Resultados y el valor de los inventarios que aparece en el Balance General vienen directamente de los cálculos hechos por la contabilidad de costos. Podría decirse que la contabilidad de costos "alimenta" con información a la contabilidad financiera.</w:t>
      </w:r>
    </w:p>
    <w:p>
      <w:pPr>
        <w:pStyle w:val="Textoindependiente"/>
        <w:spacing w:line="285" w:lineRule="auto"/>
        <w:ind w:right="188"/>
        <w:jc w:val="both"/>
        <w:rPr>
          <w:b/>
          <w:bCs/>
          <w:sz w:val="24"/>
          <w:szCs w:val="24"/>
        </w:rPr>
      </w:pPr>
    </w:p>
    <w:p>
      <w:pPr>
        <w:pStyle w:val="Textoindependiente"/>
        <w:spacing w:line="285" w:lineRule="auto"/>
        <w:ind w:right="188"/>
        <w:jc w:val="both"/>
        <w:rPr>
          <w:b/>
          <w:bCs/>
          <w:sz w:val="24"/>
          <w:szCs w:val="24"/>
        </w:rPr>
      </w:pPr>
      <w:r>
        <w:rPr>
          <w:rFonts w:ascii="Arial MT"/>
          <w:b/>
          <w:bCs/>
          <w:i w:val="0"/>
          <w:strike w:val="0"/>
          <w:dstrike w:val="0"/>
          <w:emboss w:val="0"/>
          <w:imprint w:val="0"/>
          <w:outline w:val="0"/>
          <w:shadow w:val="0"/>
          <w:sz w:val="24"/>
          <w:szCs w:val="24"/>
          <w:u w:val="none"/>
        </w:rPr>
        <w:t xml:space="preserve">7. ¿Cuál es la diferencia entre el enfoque de la contabilidad administrativa y la contabilidad fiscal respecto al tiempo?</w:t>
      </w:r>
    </w:p>
    <w:p>
      <w:pPr>
        <w:pStyle w:val="Textoindependiente"/>
        <w:spacing w:line="285" w:lineRule="auto"/>
        <w:ind w:right="188"/>
        <w:jc w:val="both"/>
      </w:pPr>
    </w:p>
    <w:p>
      <w:pPr>
        <w:pStyle w:val="Textoindependiente"/>
        <w:spacing w:line="285" w:lineRule="auto"/>
        <w:ind w:right="188"/>
        <w:jc w:val="both"/>
      </w:pPr>
      <w:r>
        <w:rPr>
          <w:rFonts w:ascii="Arial MT"/>
          <w:b w:val="0"/>
          <w:i w:val="0"/>
          <w:strike w:val="0"/>
          <w:dstrike w:val="0"/>
          <w:emboss w:val="0"/>
          <w:imprint w:val="0"/>
          <w:outline w:val="0"/>
          <w:shadow w:val="0"/>
          <w:sz w:val="22"/>
          <w:szCs w:val="22"/>
          <w:u w:val="none"/>
        </w:rPr>
        <w:t xml:space="preserve">La contabilidad administrativa mira hacia el futuro: sirve para planear, hacer presupuestos, proyectar ventas y tomar decisiones sobre lo que la empresa va a hacer después. La contabilidad fiscal, en cambio, mira hacia el pasado: se usa para calcular y declarar los impuestos de un periodo que ya terminó, cumpliendo con lo que exige la ley tributaria vigente en ese momento. Una diseña el mañana; la otra reporta lo que ya sucedió.</w:t>
      </w:r>
    </w:p>
    <w:p>
      <w:pPr>
        <w:pStyle w:val="Textoindependiente"/>
        <w:spacing w:line="285" w:lineRule="auto"/>
        <w:ind w:right="188"/>
        <w:jc w:val="both"/>
      </w:pPr>
    </w:p>
    <w:p>
      <w:pPr>
        <w:pStyle w:val="Textoindependiente"/>
        <w:spacing w:line="285" w:lineRule="auto"/>
        <w:ind w:right="188"/>
        <w:jc w:val="both"/>
        <w:rPr>
          <w:b/>
          <w:bCs/>
          <w:sz w:val="24"/>
          <w:szCs w:val="24"/>
        </w:rPr>
      </w:pPr>
    </w:p>
    <w:p>
      <w:pPr>
        <w:pStyle w:val="Textoindependiente"/>
        <w:spacing w:line="285" w:lineRule="auto"/>
        <w:ind w:right="188"/>
        <w:jc w:val="both"/>
        <w:rPr>
          <w:b/>
          <w:bCs/>
          <w:sz w:val="24"/>
          <w:szCs w:val="24"/>
        </w:rPr>
      </w:pPr>
      <w:r>
        <w:rPr>
          <w:rFonts w:ascii="Arial MT"/>
          <w:b/>
          <w:bCs/>
          <w:i w:val="0"/>
          <w:strike w:val="0"/>
          <w:dstrike w:val="0"/>
          <w:emboss w:val="0"/>
          <w:imprint w:val="0"/>
          <w:outline w:val="0"/>
          <w:shadow w:val="0"/>
          <w:sz w:val="24"/>
          <w:szCs w:val="24"/>
          <w:u w:val="none"/>
        </w:rPr>
        <w:t xml:space="preserve">8. Si una empresa comercial compra mercancía por $10,000 más un flete de transporte de $500, ¿cómo se registra este flete bajo la contabilidad de costos y financiera?</w:t>
      </w:r>
    </w:p>
    <w:p>
      <w:pPr>
        <w:pStyle w:val="Textoindependiente"/>
        <w:spacing w:line="285" w:lineRule="auto"/>
        <w:ind w:right="188"/>
        <w:jc w:val="both"/>
      </w:pPr>
    </w:p>
    <w:p>
      <w:pPr>
        <w:pStyle w:val="Textoindependiente"/>
        <w:spacing w:line="285" w:lineRule="auto"/>
        <w:ind w:right="188"/>
        <w:jc w:val="both"/>
      </w:pPr>
      <w:r>
        <w:rPr>
          <w:rFonts w:ascii="Arial MT"/>
          <w:b w:val="0"/>
          <w:i w:val="0"/>
          <w:strike w:val="0"/>
          <w:dstrike w:val="0"/>
          <w:emboss w:val="0"/>
          <w:imprint w:val="0"/>
          <w:outline w:val="0"/>
          <w:shadow w:val="0"/>
          <w:sz w:val="22"/>
          <w:szCs w:val="22"/>
          <w:u w:val="none"/>
        </w:rPr>
        <w:t xml:space="preserve">El flete no se registra como un gasto aparte, sino que se suma al costo de la mercancía, porque es un desembolso necesario para tener ese inventario listo y disponible para la venta. Así, el costo total del inventario que compró la empresa sería $10,000 + $500 = $10,500. Tanto en la contabilidad de costos como en la contabilidad financiera (bajo NIIF) se sigue esta misma regla: todo costo necesario para poner la mercancía en su lugar y condición de venta forma parte del</w:t>
      </w:r>
    </w:p>
    <w:p>
      <w:pPr>
        <w:pStyle w:val="Textoindependiente"/>
        <w:spacing w:line="285" w:lineRule="auto"/>
        <w:ind w:right="188"/>
        <w:jc w:val="both"/>
      </w:pPr>
      <w:r>
        <w:rPr>
          <w:rFonts w:ascii="Arial MT"/>
          <w:b w:val="0"/>
          <w:i w:val="0"/>
          <w:strike w:val="0"/>
          <w:dstrike w:val="0"/>
          <w:emboss w:val="0"/>
          <w:imprint w:val="0"/>
          <w:outline w:val="0"/>
          <w:shadow w:val="0"/>
          <w:sz w:val="22"/>
          <w:szCs w:val="22"/>
          <w:u w:val="none"/>
        </w:rPr>
        <w:t xml:space="preserve"> </w:t>
      </w:r>
    </w:p>
    <w:p>
      <w:pPr>
        <w:pStyle w:val="Textoindependiente"/>
        <w:spacing w:line="285" w:lineRule="auto"/>
        <w:ind w:right="188"/>
        <w:jc w:val="both"/>
      </w:pPr>
      <w:r>
        <w:rPr>
          <w:rFonts w:ascii="Arial MT"/>
          <w:b w:val="0"/>
          <w:i w:val="0"/>
          <w:strike w:val="0"/>
          <w:dstrike w:val="0"/>
          <w:emboss w:val="0"/>
          <w:imprint w:val="0"/>
          <w:outline w:val="0"/>
          <w:shadow w:val="0"/>
          <w:sz w:val="22"/>
          <w:szCs w:val="22"/>
          <w:u w:val="none"/>
        </w:rPr>
        <w:t xml:space="preserve">costo del inventario, no se registra como un gasto operativo separado.</w:t>
      </w:r>
    </w:p>
    <w:p>
      <w:pPr>
        <w:pStyle w:val="Textoindependiente"/>
        <w:spacing w:line="285" w:lineRule="auto"/>
        <w:ind w:right="188"/>
        <w:jc w:val="both"/>
      </w:pPr>
    </w:p>
    <w:p>
      <w:pPr>
        <w:pStyle w:val="Textoindependiente"/>
        <w:spacing w:line="285" w:lineRule="auto"/>
        <w:ind w:right="188"/>
        <w:jc w:val="both"/>
        <w:rPr>
          <w:b/>
          <w:bCs/>
          <w:sz w:val="24"/>
          <w:szCs w:val="24"/>
        </w:rPr>
      </w:pPr>
      <w:r>
        <w:rPr>
          <w:rFonts w:ascii="Arial MT"/>
          <w:b/>
          <w:bCs/>
          <w:i w:val="0"/>
          <w:strike w:val="0"/>
          <w:dstrike w:val="0"/>
          <w:emboss w:val="0"/>
          <w:imprint w:val="0"/>
          <w:outline w:val="0"/>
          <w:shadow w:val="0"/>
          <w:sz w:val="24"/>
          <w:szCs w:val="24"/>
          <w:u w:val="none"/>
        </w:rPr>
        <w:t xml:space="preserve">9. ¿Qué herramienta de la contabilidad administrativa utiliza los datos de costos para calcular el volumen mínimo de ventas que evita pérdidas?</w:t>
      </w:r>
    </w:p>
    <w:p>
      <w:pPr>
        <w:pStyle w:val="Textoindependiente"/>
        <w:spacing w:line="285" w:lineRule="auto"/>
        <w:ind w:right="188"/>
        <w:jc w:val="both"/>
      </w:pPr>
    </w:p>
    <w:p>
      <w:pPr>
        <w:pStyle w:val="Textoindependiente"/>
        <w:spacing w:line="285" w:lineRule="auto"/>
        <w:ind w:right="188"/>
        <w:jc w:val="both"/>
      </w:pPr>
      <w:r>
        <w:rPr>
          <w:rFonts w:ascii="Arial MT"/>
          <w:b w:val="0"/>
          <w:i w:val="0"/>
          <w:strike w:val="0"/>
          <w:dstrike w:val="0"/>
          <w:emboss w:val="0"/>
          <w:imprint w:val="0"/>
          <w:outline w:val="0"/>
          <w:shadow w:val="0"/>
          <w:sz w:val="22"/>
          <w:szCs w:val="22"/>
          <w:u w:val="none"/>
        </w:rPr>
        <w:t xml:space="preserve">Esa herramienta se llama Punto de Equilibrio Operativo (break-even point). Usa la información de costos fijos, costos variables y precio de venta para calcular cuántas unidades como mínimo debe vender la empresa para que sus ingresos cubran exactamente todos sus costos, sin ganar ni perder dinero. Vender por debajo de ese punto significa pérdidas; vender por encima significa utilidad.</w:t>
      </w:r>
    </w:p>
    <w:p>
      <w:pPr>
        <w:pStyle w:val="Textoindependiente"/>
        <w:spacing w:line="285" w:lineRule="auto"/>
        <w:ind w:right="188"/>
        <w:jc w:val="both"/>
        <w:rPr>
          <w:b/>
          <w:bCs/>
          <w:sz w:val="24"/>
          <w:szCs w:val="24"/>
        </w:rPr>
      </w:pPr>
    </w:p>
    <w:p>
      <w:pPr>
        <w:pStyle w:val="Textoindependiente"/>
        <w:spacing w:line="285" w:lineRule="auto"/>
        <w:ind w:right="188"/>
        <w:jc w:val="both"/>
        <w:rPr>
          <w:b/>
          <w:bCs/>
          <w:sz w:val="24"/>
          <w:szCs w:val="24"/>
        </w:rPr>
      </w:pPr>
      <w:r>
        <w:rPr>
          <w:rFonts w:ascii="Arial MT"/>
          <w:b/>
          <w:bCs/>
          <w:i w:val="0"/>
          <w:strike w:val="0"/>
          <w:dstrike w:val="0"/>
          <w:emboss w:val="0"/>
          <w:imprint w:val="0"/>
          <w:outline w:val="0"/>
          <w:shadow w:val="0"/>
          <w:sz w:val="24"/>
          <w:szCs w:val="24"/>
          <w:u w:val="none"/>
        </w:rPr>
        <w:t xml:space="preserve">10. ¿Por qué una depreciación acelerada de maquinaria puede ser óptima para la contabilidad fiscal pero inconveniente para la contabilidad financiera?</w:t>
      </w:r>
    </w:p>
    <w:p>
      <w:pPr>
        <w:pStyle w:val="Textoindependiente"/>
        <w:spacing w:line="285" w:lineRule="auto"/>
        <w:ind w:right="188"/>
        <w:jc w:val="both"/>
      </w:pPr>
    </w:p>
    <w:p>
      <w:pPr>
        <w:pStyle w:val="Textoindependiente"/>
        <w:spacing w:line="285" w:lineRule="auto"/>
        <w:ind w:right="188"/>
        <w:jc w:val="both"/>
      </w:pPr>
      <w:r>
        <w:rPr>
          <w:rFonts w:ascii="Arial MT"/>
          <w:b w:val="0"/>
          <w:i w:val="0"/>
          <w:strike w:val="0"/>
          <w:dstrike w:val="0"/>
          <w:emboss w:val="0"/>
          <w:imprint w:val="0"/>
          <w:outline w:val="0"/>
          <w:shadow w:val="0"/>
          <w:sz w:val="22"/>
          <w:szCs w:val="22"/>
          <w:u w:val="none"/>
        </w:rPr>
        <w:t xml:space="preserve">La depreciación acelerada permite reconocer un gasto más grande por el desgaste de la maquinaria durante los primeros años de su vida útil. Para efectos fiscales esto conviene a la empresa, porque al tener un gasto más alto, la utilidad gravable baja y, por lo tanto, se paga menos impuesto en esos primeros años (aunque después se pague más, ya que el total depreciado es el mismo). Sin embargo, para la contabilidad financiera esto puede ser inconveniente, porque el objetivo de esta rama es mostrar la situación real y fiel de la empresa a inversionistas y bancos. Si se "infla" el gasto por depreciación en los primeros años, la utilidad que se reporta se ve más baja de lo que realmente refleja el desgaste del activo, lo cual puede distorsionar la imagen financiera de la empresa y dificultar la comparación con otras compañías que usan un método más parejo, como la depreciación en línea recta.</w:t>
      </w:r>
    </w:p>
    <w:sectPr w:rsidR="00194E41">
      <w:pgSz w:w="12240" w:h="15840"/>
      <w:pgMar w:top="1060" w:right="1080" w:bottom="280" w:left="1080" w:header="720" w:footer="72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E41"/>
    <w:rsid w:val="000D65A8"/>
    <w:rsid w:val="00194E41"/>
    <w:rsid w:val="003C55CD"/>
    <w:rsid w:val="00A85F95"/>
    <w:rsid w:val="00C728DC"/>
  </w:rsids>
  <m:mathPr>
    <m:mathFont m:val="Cambria Math"/>
    <m:brkBin m:val="before"/>
    <m:brkBinSub m:val="--"/>
    <m:smallFrac m:val="0"/>
    <m:dispDef/>
    <m:lMargin m:val="0"/>
    <m:rMargin m:val="0"/>
    <m:defJc m:val="centerGroup"/>
    <m:wrapIndent m:val="1440"/>
    <m:intLim m:val="subSup"/>
    <m:naryLim m:val="undOvr"/>
  </m:mathPr>
  <w:themeFontLang w:val="es-GT"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F6474"/>
  <w15:docId w15:val="{52ED5EAD-A6FA-40D4-AEDB-5D73D77AB352}"/>
  <w:trackRevision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spacing w:before="70"/>
      <w:jc w:val="center"/>
      <w:outlineLvl w:val="0"/>
    </w:pPr>
    <w:rPr>
      <w:rFonts w:ascii="Arial" w:eastAsia="Arial" w:hAnsi="Arial" w:cs="Arial"/>
      <w:b/>
      <w:bCs/>
      <w:sz w:val="36"/>
      <w:szCs w:val="3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spacing w:before="53"/>
      <w:ind w:left="192"/>
    </w:pPr>
  </w:style>
  <w:style w:type="paragraph" w:styleId="Prrafodelista">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image" Target="media/image1.png"/><Relationship Id="rId5" Type="http://schemas.openxmlformats.org/officeDocument/2006/relationships/fontTable" Target="fontTable.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1132</Words>
  <Characters>6229</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(anonymous)</vt:lpstr>
    </vt:vector>
  </TitlesOfParts>
  <Company/>
  <LinksUpToDate>false</LinksUpToDate>
  <CharactersWithSpaces>7347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Estuardo BX</cp:lastModifiedBy>
  <cp:revision>3</cp:revision>
  <dcterms:created xsi:type="dcterms:W3CDTF">2026-08-04T04:17:00Z</dcterms:created>
  <dcterms:modified xsi:type="dcterms:W3CDTF">2026-08-04T04:18:00Z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2026-08-04T00:00:00Z</vt:filetime>
  </property>
  <property fmtid="{D5CDD505-2E9C-101B-9397-08002B2CF9AE}" pid="4" name="Creator">
    <vt:lpwstr>(unspecified)</vt:lpwstr>
  </property>
  <property fmtid="{D5CDD505-2E9C-101B-9397-08002B2CF9AE}" pid="5" name="LastSaved">
    <vt:filetime>2026-08-04T00:00:00Z</vt:filetime>
  </property>
  <property fmtid="{D5CDD505-2E9C-101B-9397-08002B2CF9AE}" pid="6" name="Producer">
    <vt:lpwstr>ReportLab PDF Library - (opensource)</vt:lpwstr>
  </property>
</Properties>
</file>