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Distribuidora del Pacífico, S.A.</w:t>
      </w:r>
    </w:p>
    <w:p>
      <w:pPr>
        <w:spacing w:after="60"/>
        <w:jc w:val="center"/>
      </w:pPr>
      <w:r>
        <w:rPr>
          <w:color w:val="444444"/>
          <w:sz w:val="24"/>
          <w:szCs w:val="24"/>
        </w:rPr>
        <w:t xml:space="preserve">Ejercicio de Costo de Ventas — Método de Promedio Ponderado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Producto: AquaPlus — Agosto 2026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Parte I. Kardex — Método Promedio Ponderado</w:t>
      </w:r>
    </w:p>
    <w:p>
      <w:pPr>
        <w:spacing w:after="100"/>
      </w:pPr>
      <w:r>
        <w:t xml:space="preserve">Se recalcula el costo unitario promedio ponderado después de cada compra. El promedio final (Q48.6182) se aplica a las 420 unidades vendidas.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500"/>
        <w:gridCol w:w="304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Fecha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Entradas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Salidas</w:t>
            </w:r>
          </w:p>
        </w:tc>
        <w:tc>
          <w:tcPr>
            <w:tcW w:type="dxa" w:w="3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Existencias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Inicial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120 u. x Q45.00 = Q5400.00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05/08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180 u. x Q48.00 = Q8640.00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300 u. x Q46.80 = Q14040.00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14/08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150 u. x Q50.00 = Q7500.00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450 u. x Q47.87 = Q21540.00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25/08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100 u. x Q52.00 = Q5200.00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550 u. x Q48.62 = Q26740.00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Venta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420 u. x Q48.62 = Q20419.64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130 u. x Q48.62 = Q6320.36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Cálculo del Costo de Ventas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40"/>
      </w:tblGrid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Inventario inicial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1"/>
                <w:szCs w:val="21"/>
              </w:rPr>
              <w:t xml:space="preserve">Q 5,400.00</w:t>
            </w:r>
          </w:p>
        </w:tc>
      </w:tr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(+) Compras netas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1"/>
                <w:szCs w:val="21"/>
              </w:rPr>
              <w:t xml:space="preserve">Q 21,340.00</w:t>
            </w:r>
          </w:p>
        </w:tc>
      </w:tr>
      <w:tr>
        <w:tc>
          <w:tcPr>
            <w:tcW w:type="dxa" w:w="6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= Mercadería disponible para la venta</w:t>
            </w:r>
          </w:p>
        </w:tc>
        <w:tc>
          <w:tcPr>
            <w:tcW w:type="dxa" w:w="284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Q 26,740.00</w:t>
            </w:r>
          </w:p>
        </w:tc>
      </w:tr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(-) Inventario final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1"/>
                <w:szCs w:val="21"/>
              </w:rPr>
              <w:t xml:space="preserve">Q 6,320.36</w:t>
            </w:r>
          </w:p>
        </w:tc>
      </w:tr>
      <w:tr>
        <w:tc>
          <w:tcPr>
            <w:tcW w:type="dxa" w:w="6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= Costo de ventas</w:t>
            </w:r>
          </w:p>
        </w:tc>
        <w:tc>
          <w:tcPr>
            <w:tcW w:type="dxa" w:w="284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Q 20,419.64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Estado de Resultados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Distribuidora del Pacífico, S.A. — Estado de Resultados correspondiente a agosto de 2026.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40"/>
      </w:tblGrid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Ventas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1"/>
                <w:szCs w:val="21"/>
              </w:rPr>
              <w:t xml:space="preserve">Q 32,760.00</w:t>
            </w:r>
          </w:p>
        </w:tc>
      </w:tr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(-) Costo de ventas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1"/>
                <w:szCs w:val="21"/>
              </w:rPr>
              <w:t xml:space="preserve">Q 20,419.64</w:t>
            </w:r>
          </w:p>
        </w:tc>
      </w:tr>
      <w:tr>
        <w:tc>
          <w:tcPr>
            <w:tcW w:type="dxa" w:w="6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= Utilidad bruta</w:t>
            </w:r>
          </w:p>
        </w:tc>
        <w:tc>
          <w:tcPr>
            <w:tcW w:type="dxa" w:w="284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Q 12,340.36</w:t>
            </w:r>
          </w:p>
        </w:tc>
      </w:tr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Sueldos administrativos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1"/>
                <w:szCs w:val="21"/>
              </w:rPr>
              <w:t xml:space="preserve">Q 3,200.00</w:t>
            </w:r>
          </w:p>
        </w:tc>
      </w:tr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Alquiler del local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1"/>
                <w:szCs w:val="21"/>
              </w:rPr>
              <w:t xml:space="preserve">Q 1,800.00</w:t>
            </w:r>
          </w:p>
        </w:tc>
      </w:tr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Energía eléctrica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1"/>
                <w:szCs w:val="21"/>
              </w:rPr>
              <w:t xml:space="preserve">Q 650.00</w:t>
            </w:r>
          </w:p>
        </w:tc>
      </w:tr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Publicidad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1"/>
                <w:szCs w:val="21"/>
              </w:rPr>
              <w:t xml:space="preserve">Q 900.00</w:t>
            </w:r>
          </w:p>
        </w:tc>
      </w:tr>
      <w:tr>
        <w:tc>
          <w:tcPr>
            <w:tcW w:type="dxa" w:w="6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Total gastos de operación</w:t>
            </w:r>
          </w:p>
        </w:tc>
        <w:tc>
          <w:tcPr>
            <w:tcW w:type="dxa" w:w="284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Q 6,550.00</w:t>
            </w:r>
          </w:p>
        </w:tc>
      </w:tr>
      <w:tr>
        <w:tc>
          <w:tcPr>
            <w:tcW w:type="dxa" w:w="6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= Utilidad operativa</w:t>
            </w:r>
          </w:p>
        </w:tc>
        <w:tc>
          <w:tcPr>
            <w:tcW w:type="dxa" w:w="284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Q 5,790.36</w:t>
            </w:r>
          </w:p>
        </w:tc>
      </w:tr>
      <w:tr>
        <w:tc>
          <w:tcPr>
            <w:tcW w:type="dxa" w:w="6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= Utilidad neta (no se considera ISR)</w:t>
            </w:r>
          </w:p>
        </w:tc>
        <w:tc>
          <w:tcPr>
            <w:tcW w:type="dxa" w:w="284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Q 5,790.36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Parte IV. Análisis de Ventas y Costos</w:t>
      </w:r>
    </w:p>
    <w:p>
      <w:pPr>
        <w:spacing w:before="120"/>
      </w:pPr>
      <w:r>
        <w:rPr>
          <w:b/>
          <w:bCs/>
        </w:rPr>
        <w:t xml:space="preserve">1. ¿Cuál fue el precio de venta unitario?</w:t>
      </w:r>
    </w:p>
    <w:p>
      <w:pPr>
        <w:spacing w:after="80"/>
      </w:pPr>
      <w:r>
        <w:t xml:space="preserve">Q78.00 por unidad.</w:t>
      </w:r>
    </w:p>
    <w:p>
      <w:pPr>
        <w:spacing w:before="120"/>
      </w:pPr>
      <w:r>
        <w:rPr>
          <w:b/>
          <w:bCs/>
        </w:rPr>
        <w:t xml:space="preserve">2. ¿Cuál fue el costo promedio unitario de la mercadería vendida?</w:t>
      </w:r>
    </w:p>
    <w:p>
      <w:pPr>
        <w:spacing w:after="80"/>
      </w:pPr>
      <w:r>
        <w:t xml:space="preserve">Q48.62 por unidad (Q20,419.64 ÷ 420 unidades).</w:t>
      </w:r>
    </w:p>
    <w:p>
      <w:pPr>
        <w:spacing w:before="120"/>
      </w:pPr>
      <w:r>
        <w:rPr>
          <w:b/>
          <w:bCs/>
        </w:rPr>
        <w:t xml:space="preserve">3. ¿Cuál fue la ganancia bruta por unidad?</w:t>
      </w:r>
    </w:p>
    <w:p>
      <w:pPr>
        <w:spacing w:after="80"/>
      </w:pPr>
      <w:r>
        <w:t xml:space="preserve">Q29.38 por unidad (Q78.00 − Q48.62).</w:t>
      </w:r>
    </w:p>
    <w:p>
      <w:pPr>
        <w:spacing w:before="120"/>
      </w:pPr>
      <w:r>
        <w:rPr>
          <w:b/>
          <w:bCs/>
        </w:rPr>
        <w:t xml:space="preserve">4. ¿Qué porcentaje representan los gastos operativos sobre las ventas?</w:t>
      </w:r>
    </w:p>
    <w:p>
      <w:pPr>
        <w:spacing w:after="80"/>
      </w:pPr>
      <w:r>
        <w:t xml:space="preserve">19.99 % (Q6,550.00 ÷ Q32,760.00 x 100), es decir, prácticamente el 20 % de las ventas.</w:t>
      </w:r>
    </w:p>
    <w:p>
      <w:pPr>
        <w:spacing w:before="120"/>
      </w:pPr>
      <w:r>
        <w:rPr>
          <w:b/>
          <w:bCs/>
        </w:rPr>
        <w:t xml:space="preserve">5. ¿La empresa obtuvo una utilidad suficiente para cubrir sus gastos fijos?</w:t>
      </w:r>
    </w:p>
    <w:p>
      <w:pPr>
        <w:spacing w:after="80"/>
      </w:pPr>
      <w:r>
        <w:t xml:space="preserve">Sí. La utilidad bruta (Q12,340.36) cubre con holgura el total de gastos de operación (Q6,550.00), dejando una utilidad operativa positiva de Q5,790.36.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Parte V. Análisis Financiero de Costos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70"/>
        <w:gridCol w:w="2770"/>
      </w:tblGrid>
      <w:tr>
        <w:trPr>
          <w:tblHeader/>
        </w:trPr>
        <w:tc>
          <w:tcPr>
            <w:tcW w:type="dxa" w:w="3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Indicador</w:t>
            </w:r>
          </w:p>
        </w:tc>
        <w:tc>
          <w:tcPr>
            <w:tcW w:type="dxa" w:w="277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Cálculo</w:t>
            </w:r>
          </w:p>
        </w:tc>
        <w:tc>
          <w:tcPr>
            <w:tcW w:type="dxa" w:w="277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Resultado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Margen bruto</w:t>
            </w:r>
          </w:p>
        </w:tc>
        <w:tc>
          <w:tcPr>
            <w:tcW w:type="dxa" w:w="27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12,340.36 / 32,760 x 100</w:t>
            </w:r>
          </w:p>
        </w:tc>
        <w:tc>
          <w:tcPr>
            <w:tcW w:type="dxa" w:w="27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37.67 %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Margen operativo</w:t>
            </w:r>
          </w:p>
        </w:tc>
        <w:tc>
          <w:tcPr>
            <w:tcW w:type="dxa" w:w="27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5,790.36 / 32,760 x 100</w:t>
            </w:r>
          </w:p>
        </w:tc>
        <w:tc>
          <w:tcPr>
            <w:tcW w:type="dxa" w:w="27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17.68 %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Margen neto</w:t>
            </w:r>
          </w:p>
        </w:tc>
        <w:tc>
          <w:tcPr>
            <w:tcW w:type="dxa" w:w="27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5,790.36 / 32,760 x 100</w:t>
            </w:r>
          </w:p>
        </w:tc>
        <w:tc>
          <w:tcPr>
            <w:tcW w:type="dxa" w:w="27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17.68 %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Rotación de inventario</w:t>
            </w:r>
          </w:p>
        </w:tc>
        <w:tc>
          <w:tcPr>
            <w:tcW w:type="dxa" w:w="27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20,419.64 / 5,860.18</w:t>
            </w:r>
          </w:p>
        </w:tc>
        <w:tc>
          <w:tcPr>
            <w:tcW w:type="dxa" w:w="27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3.48 veces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</w:rPr>
        <w:t xml:space="preserve">Conclusión financiera</w:t>
      </w:r>
    </w:p>
    <w:p>
      <w:pPr>
        <w:spacing w:after="100"/>
      </w:pPr>
      <w:r>
        <w:t xml:space="preserve">El margen bruto de 37.67 % es razonable para una empresa comercial (distribuidora), ya que se ubica dentro del rango típico de 30 %–40 % del sector, lo que indica que el precio de venta cubre adecuadamente el costo de la mercadería. Los gastos operativos, al representar cerca del 20 % de las ventas, se consideran controlados, pues dejan un margen operativo saludable de 17.68 %. Sin embargo, el incremento del costo de compra de Q45.00 a Q52.00 (un 15.6 % de aumento) elevó gradualmente el costo promedio ponderado y presiona el margen unitario hacia abajo si el precio de venta no se ajusta; de mantenerse esta tendencia alcista en los costos, la rentabilidad podría erosionarse en los próximos meses. Se recomienda a la gerencia negociar mejores condiciones con los proveedores o buscar fuentes alternas de abastecimiento, revisar periódicamente el precio de venta para preservar el margen, y dar seguimiento a la rotación de inventario (3.48 veces en el mes) para evitar exceso de inventario inmovilizado. En conjunto, la empresa muestra una operación rentable y sostenible en agosto de 2026, pero debe vigilar de cerca la evolución de sus costos de compra.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2026-07-27T03:16:05.403Z</dcterms:created>
  <dcterms:modified xsi:type="dcterms:W3CDTF">2026-07-27T03:16:05.419Z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