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E2405">
      <w:pPr>
        <w:spacing w:before="0" w:after="40"/>
      </w:pPr>
      <w:r>
        <w:rPr>
          <w:rFonts w:ascii="Arial" w:hAnsi="Arial" w:eastAsia="微软雅黑"/>
          <w:b/>
          <w:i w:val="0"/>
          <w:color w:val="1A1A1A"/>
          <w:sz w:val="32"/>
        </w:rPr>
        <w:t>External Contributions</w:t>
      </w:r>
    </w:p>
    <w:p w14:paraId="609D2969">
      <w:pPr>
        <w:spacing w:after="120"/>
      </w:pPr>
      <w:bookmarkStart w:id="0" w:name="_GoBack"/>
      <w:r>
        <w:rPr>
          <w:rFonts w:ascii="Arial" w:hAnsi="Arial" w:eastAsia="微软雅黑"/>
          <w:b w:val="0"/>
          <w:i w:val="0"/>
          <w:color w:val="595959"/>
          <w:sz w:val="18"/>
        </w:rPr>
        <w:t>SZPU-China · 2026 iGEM · 25 entries</w:t>
      </w:r>
    </w:p>
    <w:bookmarkEnd w:id="0"/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238"/>
        <w:gridCol w:w="4819"/>
        <w:gridCol w:w="238"/>
        <w:gridCol w:w="4819"/>
      </w:tblGrid>
      <w:tr w14:paraId="2AC3C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Wenjie Wang 王文杰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Government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机构类型：政府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External Advisor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与团队的关系：外部顾问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Conceptualization, Investigation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概念化、调查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 xml:space="preserve">Conceptualization – </w:t>
            </w:r>
            <w:r>
              <w:rPr>
                <w:rFonts w:hint="eastAsia"/>
                <w:b w:val="0"/>
                <w:i w:val="0"/>
                <w:color w:val="333333"/>
                <w:sz w:val="15"/>
                <w:lang w:val="en-US" w:eastAsia="zh-CN"/>
              </w:rPr>
              <w:t>Sh</w:t>
            </w: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e showed that patient sampling only works after viral load peaks, so we turned to air monitoring.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概念化：他指出患者采样只有在病毒载量达峰后才有效，我们据此转向空气监测。</w:t>
            </w:r>
          </w:p>
          <w:p w14:paraId="4CFBDAF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 xml:space="preserve">Investigation – </w:t>
            </w:r>
            <w:r>
              <w:rPr>
                <w:rFonts w:hint="eastAsia"/>
                <w:b w:val="0"/>
                <w:i w:val="0"/>
                <w:color w:val="333333"/>
                <w:sz w:val="15"/>
                <w:lang w:val="en-US" w:eastAsia="zh-CN"/>
              </w:rPr>
              <w:t>Sh</w:t>
            </w: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e described how hospitals test for influenza, which showed where our device could fit.</w:t>
            </w:r>
          </w:p>
          <w:p w14:paraId="3836EDD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调查：他介绍了医院的甲流检测方式，让我们看清装置的切入位置。</w:t>
            </w:r>
          </w:p>
        </w:tc>
        <w:tc>
          <w:tcPr>
            <w:tcW w:w="238" w:type="dxa"/>
          </w:tcPr>
          <w:p w14:paraId="7D9D70BA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169A5A51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Kai Fu 付凯</w:t>
            </w:r>
          </w:p>
          <w:p w14:paraId="75388841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32FA35D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5F3870DB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External Advisor</w:t>
            </w:r>
          </w:p>
          <w:p w14:paraId="6CBA255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与团队的关系：外部顾问</w:t>
            </w:r>
          </w:p>
          <w:p w14:paraId="759592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4FFBF2F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Conceptualization, Investigation</w:t>
            </w:r>
          </w:p>
          <w:p w14:paraId="0E50B8D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概念化、调查</w:t>
            </w:r>
          </w:p>
          <w:p w14:paraId="2B51FDE2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155597B8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Conceptualization – He noted that exhaled breath carries more virus than room air, so we turned to single-person testing.</w:t>
            </w:r>
          </w:p>
          <w:p w14:paraId="32C43EA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概念化：他指出呼出气体中的病毒多于环境空气，我们据此转向单人呼气检测。</w:t>
            </w:r>
          </w:p>
          <w:p w14:paraId="3F817F3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Investigation – He told us the yeast pathway needs one to two hours to produce a fluorescent signal.</w:t>
            </w:r>
          </w:p>
          <w:p w14:paraId="6D08C19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调查：他指出酵母通路约需 1–2 小时才能产生荧光信号。</w:t>
            </w:r>
          </w:p>
        </w:tc>
        <w:tc>
          <w:tcPr>
            <w:tcW w:w="238" w:type="dxa"/>
          </w:tcPr>
          <w:p w14:paraId="076F490A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23894A7F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Manqing Deng 邓蔓青</w:t>
            </w:r>
          </w:p>
          <w:p w14:paraId="0E45C279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Government</w:t>
            </w:r>
          </w:p>
          <w:p w14:paraId="36520B58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机构类型：政府</w:t>
            </w:r>
          </w:p>
          <w:p w14:paraId="1E9CCDA9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External Advisor</w:t>
            </w:r>
          </w:p>
          <w:p w14:paraId="1247A02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与团队的关系：外部顾问</w:t>
            </w:r>
          </w:p>
          <w:p w14:paraId="3B57912E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02D7807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Conceptualization, Investigation, Entrepreneurship</w:t>
            </w:r>
          </w:p>
          <w:p w14:paraId="36873C2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概念化、调查、创业</w:t>
            </w:r>
          </w:p>
          <w:p w14:paraId="20EEDBA7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7EEA42A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Conceptualization – She confirmed that our filtered, kill-switch strain is safe for environmental and breath sampling.</w:t>
            </w:r>
          </w:p>
          <w:p w14:paraId="73FB908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概念化：她确认经滤膜与自杀开关处理的菌株在环境与呼气采样中安全可控。</w:t>
            </w:r>
          </w:p>
          <w:p w14:paraId="4C52155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Investigation – She classified the device as a prevention-stage test reagent rather than a drug.</w:t>
            </w:r>
          </w:p>
          <w:p w14:paraId="79326FD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调查：她将该装置定性为预防环节的检测试剂而非药品。</w:t>
            </w:r>
          </w:p>
          <w:p w14:paraId="21B1BB5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Entrepreneurship – She advised selling to schools and public-health programs, with prices benchmarked against vaccines.</w:t>
            </w:r>
          </w:p>
          <w:p w14:paraId="06769B3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创业：她建议面向学校与公共卫生项目销售，定价对标流感疫苗。</w:t>
            </w:r>
          </w:p>
        </w:tc>
      </w:tr>
      <w:tr w14:paraId="71700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exact"/>
        </w:trPr>
        <w:tc>
          <w:tcPr>
            <w:tcW w:w="4819" w:type="dxa"/>
          </w:tcPr>
          <w:p w14:paraId="52DBB347">
            <w:pPr>
              <w:spacing w:before="0" w:after="0"/>
            </w:pPr>
          </w:p>
        </w:tc>
        <w:tc>
          <w:tcPr>
            <w:tcW w:w="238" w:type="dxa"/>
          </w:tcPr>
          <w:p w14:paraId="71CC5AC8">
            <w:pPr>
              <w:spacing w:before="0" w:after="0"/>
            </w:pPr>
          </w:p>
        </w:tc>
        <w:tc>
          <w:tcPr>
            <w:tcW w:w="4819" w:type="dxa"/>
          </w:tcPr>
          <w:p w14:paraId="4F6AFE2F">
            <w:pPr>
              <w:spacing w:before="0" w:after="0"/>
            </w:pPr>
          </w:p>
        </w:tc>
        <w:tc>
          <w:tcPr>
            <w:tcW w:w="238" w:type="dxa"/>
          </w:tcPr>
          <w:p w14:paraId="7129D967">
            <w:pPr>
              <w:spacing w:before="0" w:after="0"/>
            </w:pPr>
          </w:p>
        </w:tc>
        <w:tc>
          <w:tcPr>
            <w:tcW w:w="4819" w:type="dxa"/>
          </w:tcPr>
          <w:p w14:paraId="2EE56AD8">
            <w:pPr>
              <w:spacing w:before="0" w:after="0"/>
            </w:pPr>
          </w:p>
        </w:tc>
      </w:tr>
      <w:tr w14:paraId="45597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3681C6B2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Xinyuan Qiu 邱鑫源</w:t>
            </w:r>
          </w:p>
          <w:p w14:paraId="44BF27C0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79641FF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2C8DB29D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External Advisor</w:t>
            </w:r>
          </w:p>
          <w:p w14:paraId="422483F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与团队的关系：外部顾问</w:t>
            </w:r>
          </w:p>
          <w:p w14:paraId="15578CA7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1A5F82F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Conceptualization, Background Research, Analysis</w:t>
            </w:r>
          </w:p>
          <w:p w14:paraId="3CE07E4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概念化、背景研究、分析</w:t>
            </w:r>
          </w:p>
          <w:p w14:paraId="6783DE70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3917EEB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Conceptualization – He doubted that virions can cross the yeast cell wall and advised starting from a simple RTK receptor.</w:t>
            </w:r>
          </w:p>
          <w:p w14:paraId="483D724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概念化：他质疑病毒颗粒能否穿过酵母细胞壁，建议从简单的 RTK 受体起步。</w:t>
            </w:r>
          </w:p>
          <w:p w14:paraId="4A004C0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Background Research – He asked for epidemiological evidence to support the project and told us to study the judging handbook.</w:t>
            </w:r>
          </w:p>
          <w:p w14:paraId="738C8B3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背景研究：他要求用流行病学证据支撑立项，并建议研读评审手册。</w:t>
            </w:r>
          </w:p>
          <w:p w14:paraId="25BECA6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Analysis – He asked for parameters taken from data or literature, and for models that guide experiments.</w:t>
            </w:r>
          </w:p>
          <w:p w14:paraId="0C97BDE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分析：他要求模型参数取自数据或文献，且模型能够指导实验。</w:t>
            </w:r>
          </w:p>
        </w:tc>
        <w:tc>
          <w:tcPr>
            <w:tcW w:w="238" w:type="dxa"/>
          </w:tcPr>
          <w:p w14:paraId="5E54E853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17752476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Zhouqing Luo 罗周卿</w:t>
            </w:r>
          </w:p>
          <w:p w14:paraId="36AE0F58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5C46B46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222370FA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External Advisor</w:t>
            </w:r>
          </w:p>
          <w:p w14:paraId="019D21C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与团队的关系：外部顾问</w:t>
            </w:r>
          </w:p>
          <w:p w14:paraId="02D05CD7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440D9C4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Conceptualization, Background Research</w:t>
            </w:r>
          </w:p>
          <w:p w14:paraId="3F7530D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概念化、背景研究</w:t>
            </w:r>
          </w:p>
          <w:p w14:paraId="199A0013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5AA7E28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Conceptualization – He advised mild heating with an HA tag, the native Ste2 receptor, and genome integration of reporters.</w:t>
            </w:r>
          </w:p>
          <w:p w14:paraId="4814B68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概念化：他建议温和加热配 HA 标签、改用酵母内源 Ste2，并将报告系统整合到基因组。</w:t>
            </w:r>
          </w:p>
          <w:p w14:paraId="0998B5A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Background Research – He shared literature on membrane-protein handling and on reporter leakage.</w:t>
            </w:r>
          </w:p>
          <w:p w14:paraId="6A4E51A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背景研究：他提供了膜蛋白处理与报告系统泄露方面的文献线索。</w:t>
            </w:r>
          </w:p>
        </w:tc>
        <w:tc>
          <w:tcPr>
            <w:tcW w:w="238" w:type="dxa"/>
          </w:tcPr>
          <w:p w14:paraId="3034B1BB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6D342EDB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Hui Wu 吴辉</w:t>
            </w:r>
          </w:p>
          <w:p w14:paraId="14C5A2E1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383C777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0952623D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External Advisor</w:t>
            </w:r>
          </w:p>
          <w:p w14:paraId="1C00555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与团队的关系：外部顾问</w:t>
            </w:r>
          </w:p>
          <w:p w14:paraId="2654B2A1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53DFCA3D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Conceptualization, Background Research</w:t>
            </w:r>
          </w:p>
          <w:p w14:paraId="43D2AB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概念化、背景研究</w:t>
            </w:r>
          </w:p>
          <w:p w14:paraId="49880FB4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47528998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Conceptualization – He recommended liquid-nitrogen grinding, a tighter promoter against FUS1 background, and parallel sgRNA targets.</w:t>
            </w:r>
          </w:p>
          <w:p w14:paraId="0227474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概念化：他建议液氮研磨破壁、用更严的启动子压低 FUS1 本底，并并行多个 sgRNA 靶点。</w:t>
            </w:r>
          </w:p>
          <w:p w14:paraId="654E4E4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Background Research – He encouraged us to submit parts that already show a trend.</w:t>
            </w:r>
          </w:p>
          <w:p w14:paraId="323DD118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背景研究：他鼓励我们提交已有趋势的元件。</w:t>
            </w:r>
          </w:p>
        </w:tc>
      </w:tr>
      <w:tr w14:paraId="16B0B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exact"/>
        </w:trPr>
        <w:tc>
          <w:tcPr>
            <w:tcW w:w="4819" w:type="dxa"/>
          </w:tcPr>
          <w:p w14:paraId="71D57B3C">
            <w:pPr>
              <w:spacing w:before="0" w:after="0"/>
            </w:pPr>
          </w:p>
        </w:tc>
        <w:tc>
          <w:tcPr>
            <w:tcW w:w="238" w:type="dxa"/>
          </w:tcPr>
          <w:p w14:paraId="59300BEB">
            <w:pPr>
              <w:spacing w:before="0" w:after="0"/>
            </w:pPr>
          </w:p>
        </w:tc>
        <w:tc>
          <w:tcPr>
            <w:tcW w:w="4819" w:type="dxa"/>
          </w:tcPr>
          <w:p w14:paraId="2BF86B86">
            <w:pPr>
              <w:spacing w:before="0" w:after="0"/>
            </w:pPr>
          </w:p>
        </w:tc>
        <w:tc>
          <w:tcPr>
            <w:tcW w:w="238" w:type="dxa"/>
          </w:tcPr>
          <w:p w14:paraId="2A1EB8EB">
            <w:pPr>
              <w:spacing w:before="0" w:after="0"/>
            </w:pPr>
          </w:p>
        </w:tc>
        <w:tc>
          <w:tcPr>
            <w:tcW w:w="4819" w:type="dxa"/>
          </w:tcPr>
          <w:p w14:paraId="2B70AB1E">
            <w:pPr>
              <w:spacing w:before="0" w:after="0"/>
            </w:pPr>
          </w:p>
        </w:tc>
      </w:tr>
      <w:tr w14:paraId="039CB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214AB342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Honghua Jia 贾红华</w:t>
            </w:r>
          </w:p>
          <w:p w14:paraId="5274E86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3371934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14D9B56C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External Advisor</w:t>
            </w:r>
          </w:p>
          <w:p w14:paraId="221B798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与团队的关系：外部顾问</w:t>
            </w:r>
          </w:p>
          <w:p w14:paraId="6417F387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4CF8155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Conceptualization, Background Research</w:t>
            </w:r>
          </w:p>
          <w:p w14:paraId="574F41D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概念化、背景研究</w:t>
            </w:r>
          </w:p>
          <w:p w14:paraId="0D31383D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4BC2298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Conceptualization – He suggested a fluorescent fusion and confocal imaging to confirm membrane insertion.</w:t>
            </w:r>
          </w:p>
          <w:p w14:paraId="7DCC9CF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概念化：他建议用荧光融合与共聚焦验证上膜。</w:t>
            </w:r>
          </w:p>
          <w:p w14:paraId="4EDDD59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Background Research – He recommended a 2024 yeast surface-display study on H1N1 and introduced us to other advisors.</w:t>
            </w:r>
          </w:p>
          <w:p w14:paraId="55C6370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背景研究：他推荐了 2024 年酵母表面展示检测 H1N1 的研究，并为我们引荐其他老师。</w:t>
            </w:r>
          </w:p>
        </w:tc>
        <w:tc>
          <w:tcPr>
            <w:tcW w:w="238" w:type="dxa"/>
          </w:tcPr>
          <w:p w14:paraId="680B1F54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05D28705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Haili Zhang 张海丽</w:t>
            </w:r>
          </w:p>
          <w:p w14:paraId="6633BE7A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246E6D3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22DF2459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External Advisor</w:t>
            </w:r>
          </w:p>
          <w:p w14:paraId="0E74E89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与团队的关系：外部顾问</w:t>
            </w:r>
          </w:p>
          <w:p w14:paraId="76183ED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1C050AF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Analysis, Conceptualization</w:t>
            </w:r>
          </w:p>
          <w:p w14:paraId="1D45B98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分析、概念化</w:t>
            </w:r>
          </w:p>
          <w:p w14:paraId="02D61DD1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08FE7D8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Analysis – She judged our ODE models premature and advised statistical tests on the existing time series.</w:t>
            </w:r>
          </w:p>
          <w:p w14:paraId="1180E85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分析：她认为 ODE 模型为时过早，建议对现有时序数据做统计检验。</w:t>
            </w:r>
          </w:p>
          <w:p w14:paraId="6F0664C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Conceptualization – She asked us to add significance testing to the humanized-G-protein comparison.</w:t>
            </w:r>
          </w:p>
          <w:p w14:paraId="3035B66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概念化：她建议对人源化 G 蛋白对照补做显著性检验。</w:t>
            </w:r>
          </w:p>
        </w:tc>
        <w:tc>
          <w:tcPr>
            <w:tcW w:w="238" w:type="dxa"/>
          </w:tcPr>
          <w:p w14:paraId="3EB0B45E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152A0FA1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Shanshan Lu 卢珊珊</w:t>
            </w:r>
          </w:p>
          <w:p w14:paraId="1A58270D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24FAFE38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5A710C0A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14CDF2A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与团队的关系：其他</w:t>
            </w:r>
          </w:p>
          <w:p w14:paraId="71A2C152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15786AE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Investigation, Project Administration</w:t>
            </w:r>
          </w:p>
          <w:p w14:paraId="31FA2EC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调查、项目管理</w:t>
            </w:r>
          </w:p>
          <w:p w14:paraId="3307E5E1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7930641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Investigation – She helped us reach the interviewee and revised the invitation letter and question outline.</w:t>
            </w:r>
          </w:p>
          <w:p w14:paraId="724AD25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调查：她协助我们联系受访者，并修改了用于邀请受访者的邀请函与问题大纲。</w:t>
            </w:r>
          </w:p>
          <w:p w14:paraId="0857149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Project Administration – She helped organize the social practice activity and handled its liaison and coordination.</w:t>
            </w:r>
          </w:p>
          <w:p w14:paraId="0AE1945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项目管理：她参与社会实践活动的组织，负责其中的联络与协调。</w:t>
            </w:r>
          </w:p>
        </w:tc>
      </w:tr>
      <w:tr w14:paraId="46593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exact"/>
        </w:trPr>
        <w:tc>
          <w:tcPr>
            <w:tcW w:w="4819" w:type="dxa"/>
          </w:tcPr>
          <w:p w14:paraId="411953B7">
            <w:pPr>
              <w:spacing w:before="0" w:after="0"/>
            </w:pPr>
          </w:p>
        </w:tc>
        <w:tc>
          <w:tcPr>
            <w:tcW w:w="238" w:type="dxa"/>
          </w:tcPr>
          <w:p w14:paraId="4642054A">
            <w:pPr>
              <w:spacing w:before="0" w:after="0"/>
            </w:pPr>
          </w:p>
        </w:tc>
        <w:tc>
          <w:tcPr>
            <w:tcW w:w="4819" w:type="dxa"/>
          </w:tcPr>
          <w:p w14:paraId="5298C639">
            <w:pPr>
              <w:spacing w:before="0" w:after="0"/>
            </w:pPr>
          </w:p>
        </w:tc>
        <w:tc>
          <w:tcPr>
            <w:tcW w:w="238" w:type="dxa"/>
          </w:tcPr>
          <w:p w14:paraId="4DAA24C4">
            <w:pPr>
              <w:spacing w:before="0" w:after="0"/>
            </w:pPr>
          </w:p>
        </w:tc>
        <w:tc>
          <w:tcPr>
            <w:tcW w:w="4819" w:type="dxa"/>
          </w:tcPr>
          <w:p w14:paraId="55D2C54E">
            <w:pPr>
              <w:spacing w:before="0" w:after="0"/>
            </w:pPr>
          </w:p>
        </w:tc>
      </w:tr>
      <w:tr w14:paraId="0C557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6F6530B2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Ran Liu 刘然</w:t>
            </w:r>
          </w:p>
          <w:p w14:paraId="0F974EB6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3DFD9FD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58CD1756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302BAB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与团队的关系：其他</w:t>
            </w:r>
          </w:p>
          <w:p w14:paraId="7E1E3792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1E616EB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Public Engagement, Project Administration</w:t>
            </w:r>
          </w:p>
          <w:p w14:paraId="3C105D9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公众参与、项目管理</w:t>
            </w:r>
          </w:p>
          <w:p w14:paraId="0B1B17F0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4A0F12C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Public Engagement – She helped us present the whole project to a non-specialist audience.</w:t>
            </w:r>
          </w:p>
          <w:p w14:paraId="0E23608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公众参与：她帮助我们向非专业听众完整介绍项目。</w:t>
            </w:r>
          </w:p>
          <w:p w14:paraId="492E4BE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Project Administration – She coordinated the time, venue and student arrangements for the 2026 intake session.</w:t>
            </w:r>
          </w:p>
          <w:p w14:paraId="2E4DBF5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项目管理：她协调了 2026 级新生分享会的时间、场地与学生组织工作。</w:t>
            </w:r>
          </w:p>
        </w:tc>
        <w:tc>
          <w:tcPr>
            <w:tcW w:w="238" w:type="dxa"/>
          </w:tcPr>
          <w:p w14:paraId="1B8387A0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1369A013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Xiaolong Liu 刘小龙</w:t>
            </w:r>
          </w:p>
          <w:p w14:paraId="08159E6D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Industry</w:t>
            </w:r>
          </w:p>
          <w:p w14:paraId="51286BCD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机构类型：产业</w:t>
            </w:r>
          </w:p>
          <w:p w14:paraId="296A512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External Advisor</w:t>
            </w:r>
          </w:p>
          <w:p w14:paraId="785B7B9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与团队的关系：外部顾问</w:t>
            </w:r>
          </w:p>
          <w:p w14:paraId="34F42A2D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7D4D231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Analysis, Conceptualization</w:t>
            </w:r>
          </w:p>
          <w:p w14:paraId="65A7A3B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分析、概念化</w:t>
            </w:r>
          </w:p>
          <w:p w14:paraId="3413098B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7039DBE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Analysis – He asked for AlphaFold 3 rebuilding with validation, binding-energy decomposition and 100 ns of simulation.</w:t>
            </w:r>
          </w:p>
          <w:p w14:paraId="3C34E0C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分析：他要求用 AlphaFold 3 重建并验证模型、拆解结合能，并补充 100 ns 分子动力学模拟。</w:t>
            </w:r>
          </w:p>
          <w:p w14:paraId="0C2EF7B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Conceptualization – He continues to advise our modeling work as it develops.</w:t>
            </w:r>
          </w:p>
          <w:p w14:paraId="0677D01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概念化：他持续跟进并指导我们的建模工作。</w:t>
            </w:r>
          </w:p>
        </w:tc>
        <w:tc>
          <w:tcPr>
            <w:tcW w:w="238" w:type="dxa"/>
          </w:tcPr>
          <w:p w14:paraId="15DDE162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6AC5E6A4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Rongkang Deng 邓荣康</w:t>
            </w:r>
          </w:p>
          <w:p w14:paraId="2071160A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Industry</w:t>
            </w:r>
          </w:p>
          <w:p w14:paraId="6D7966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机构类型：产业</w:t>
            </w:r>
          </w:p>
          <w:p w14:paraId="5D9369AE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External Advisor</w:t>
            </w:r>
          </w:p>
          <w:p w14:paraId="3EEF7F6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与团队的关系：外部顾问</w:t>
            </w:r>
          </w:p>
          <w:p w14:paraId="10FDABF0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4F650668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Hardware, Conceptualization, Entrepreneurship</w:t>
            </w:r>
          </w:p>
          <w:p w14:paraId="1E3E84B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硬件、概念化、创业</w:t>
            </w:r>
          </w:p>
          <w:p w14:paraId="3F15DC69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64F9273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Hardware – He identified air-to-liquid enrichment as the real bottleneck and proposed vortex mixing with membrane filtration.</w:t>
            </w:r>
          </w:p>
          <w:p w14:paraId="502353B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硬件：他指出空气到液相的富集才是真正瓶颈，提出涡旋搅拌配滤膜洗脱。</w:t>
            </w:r>
          </w:p>
          <w:p w14:paraId="32E1D63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Conceptualization – He laid out the flow from product requirements to prototype and advised a partial-function demonstrator.</w:t>
            </w:r>
          </w:p>
          <w:p w14:paraId="163DA46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概念化：他梳理了从产品要求到样机的研发流程，建议先做局部功能演示件。</w:t>
            </w:r>
          </w:p>
          <w:p w14:paraId="3FB433C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Entrepreneurship – He advised a patent search and design-around before commercialization.</w:t>
            </w:r>
          </w:p>
          <w:p w14:paraId="05D6EE8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创业：他建议商业化前先做专利检索与规避设计。</w:t>
            </w:r>
          </w:p>
        </w:tc>
      </w:tr>
      <w:tr w14:paraId="5A932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exact"/>
        </w:trPr>
        <w:tc>
          <w:tcPr>
            <w:tcW w:w="4819" w:type="dxa"/>
          </w:tcPr>
          <w:p w14:paraId="368FA693">
            <w:pPr>
              <w:spacing w:before="0" w:after="0"/>
            </w:pPr>
          </w:p>
        </w:tc>
        <w:tc>
          <w:tcPr>
            <w:tcW w:w="238" w:type="dxa"/>
          </w:tcPr>
          <w:p w14:paraId="4D4306BF">
            <w:pPr>
              <w:spacing w:before="0" w:after="0"/>
            </w:pPr>
          </w:p>
        </w:tc>
        <w:tc>
          <w:tcPr>
            <w:tcW w:w="4819" w:type="dxa"/>
          </w:tcPr>
          <w:p w14:paraId="49752A6E">
            <w:pPr>
              <w:spacing w:before="0" w:after="0"/>
            </w:pPr>
          </w:p>
        </w:tc>
        <w:tc>
          <w:tcPr>
            <w:tcW w:w="238" w:type="dxa"/>
          </w:tcPr>
          <w:p w14:paraId="764F0041">
            <w:pPr>
              <w:spacing w:before="0" w:after="0"/>
            </w:pPr>
          </w:p>
        </w:tc>
        <w:tc>
          <w:tcPr>
            <w:tcW w:w="4819" w:type="dxa"/>
          </w:tcPr>
          <w:p w14:paraId="70524BB3">
            <w:pPr>
              <w:spacing w:before="0" w:after="0"/>
            </w:pPr>
          </w:p>
        </w:tc>
      </w:tr>
      <w:tr w14:paraId="0FFAE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13D0F02F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Shenzhen First Vocational Technical School</w:t>
            </w:r>
          </w:p>
          <w:p w14:paraId="56F1A2C3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67C4F57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0C8BEA4C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Collaborator</w:t>
            </w:r>
          </w:p>
          <w:p w14:paraId="37F1D7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与团队的关系：合作方</w:t>
            </w:r>
          </w:p>
          <w:p w14:paraId="526246E8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233D7F5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Public Engagement</w:t>
            </w:r>
          </w:p>
          <w:p w14:paraId="6898AE0D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公众参与</w:t>
            </w:r>
          </w:p>
          <w:p w14:paraId="41B421DC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568FAF3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Public Engagement – Shenzhen First Vocational Technical School provided the venue for our outreach and organized its pharmacy students to attend.</w:t>
            </w:r>
          </w:p>
          <w:p w14:paraId="6D236E6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公众参与：深圳第一职业技术学校为我们的科普宣传提供了场地，并组织制药专业学生参加。</w:t>
            </w:r>
          </w:p>
        </w:tc>
        <w:tc>
          <w:tcPr>
            <w:tcW w:w="238" w:type="dxa"/>
          </w:tcPr>
          <w:p w14:paraId="6B00407B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2E7462E5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SZPU</w:t>
            </w:r>
          </w:p>
          <w:p w14:paraId="17859A42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254BEF3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7DA07C1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Sponsor（已修改）</w:t>
            </w:r>
          </w:p>
          <w:p w14:paraId="6629ED1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与团队的关系：赞助方（已修改）</w:t>
            </w:r>
          </w:p>
          <w:p w14:paraId="1BDE2E54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423E2CD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Project Administration, Fundraising</w:t>
            </w:r>
          </w:p>
          <w:p w14:paraId="55B2228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项目管理、筹资</w:t>
            </w:r>
          </w:p>
          <w:p w14:paraId="47D45E6D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4315C55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Project Administration – SZPU provided venues, laboratory equipment and other logistical support for our project.</w:t>
            </w:r>
          </w:p>
          <w:p w14:paraId="08E7DF5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项目管理：学校为我们的项目提供了场地、实验用具等后勤保障。</w:t>
            </w:r>
          </w:p>
          <w:p w14:paraId="10F9E67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Fundraising – SZPU provided the funding that covered our reagents, equipment and project expenses.</w:t>
            </w:r>
          </w:p>
          <w:p w14:paraId="2A145B2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筹资：学校为团队提供了覆盖试剂、器材与项目开支的资金。</w:t>
            </w:r>
          </w:p>
        </w:tc>
        <w:tc>
          <w:tcPr>
            <w:tcW w:w="238" w:type="dxa"/>
          </w:tcPr>
          <w:p w14:paraId="66DB4214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3F6E403C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School of Food and Drug, Shenzhen Polytechnic University</w:t>
            </w:r>
          </w:p>
          <w:p w14:paraId="73478AA3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373C005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12E626BF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Sponsor（已修改）</w:t>
            </w:r>
          </w:p>
          <w:p w14:paraId="264A905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与团队的关系：赞助方（已修改）</w:t>
            </w:r>
          </w:p>
          <w:p w14:paraId="3F4D722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27DB696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Fundraising, Public Engagement, Project Administration</w:t>
            </w:r>
          </w:p>
          <w:p w14:paraId="1807096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筹资、公众参与、项目管理</w:t>
            </w:r>
          </w:p>
          <w:p w14:paraId="6803FD6A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5FF34D0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Fundraising – The School of Food and Drug provided our laboratory space and experimental supplies, and helped us prepare funding applications and coordinate the budget.</w:t>
            </w:r>
          </w:p>
          <w:p w14:paraId="7628943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筹资：食品药品学院提供了实验室场地与实验物品，并协助团队筹备资金、协调预算。</w:t>
            </w:r>
          </w:p>
          <w:p w14:paraId="7B222BB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Public Engagement – The School of Food and Drug supported several of our on-campus activities.</w:t>
            </w:r>
          </w:p>
          <w:p w14:paraId="1351BE4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公众参与：食品药品学院为我们的一些校内活动提供了支持。</w:t>
            </w:r>
          </w:p>
          <w:p w14:paraId="7190007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Project Administration – The School of Food and Drug handled administrative arrangements for lab access and scheduling.</w:t>
            </w:r>
          </w:p>
          <w:p w14:paraId="61123B1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项目管理：学院负责实验室使用与项目进度等行政事务。</w:t>
            </w:r>
          </w:p>
        </w:tc>
      </w:tr>
      <w:tr w14:paraId="720BB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exact"/>
        </w:trPr>
        <w:tc>
          <w:tcPr>
            <w:tcW w:w="4819" w:type="dxa"/>
          </w:tcPr>
          <w:p w14:paraId="5CA31C05">
            <w:pPr>
              <w:spacing w:before="0" w:after="0"/>
            </w:pPr>
          </w:p>
        </w:tc>
        <w:tc>
          <w:tcPr>
            <w:tcW w:w="238" w:type="dxa"/>
          </w:tcPr>
          <w:p w14:paraId="0248D7AF">
            <w:pPr>
              <w:spacing w:before="0" w:after="0"/>
            </w:pPr>
          </w:p>
        </w:tc>
        <w:tc>
          <w:tcPr>
            <w:tcW w:w="4819" w:type="dxa"/>
          </w:tcPr>
          <w:p w14:paraId="595DE1C5">
            <w:pPr>
              <w:spacing w:before="0" w:after="0"/>
            </w:pPr>
          </w:p>
        </w:tc>
        <w:tc>
          <w:tcPr>
            <w:tcW w:w="238" w:type="dxa"/>
          </w:tcPr>
          <w:p w14:paraId="0CF933C2">
            <w:pPr>
              <w:spacing w:before="0" w:after="0"/>
            </w:pPr>
          </w:p>
        </w:tc>
        <w:tc>
          <w:tcPr>
            <w:tcW w:w="4819" w:type="dxa"/>
          </w:tcPr>
          <w:p w14:paraId="735B5509">
            <w:pPr>
              <w:spacing w:before="0" w:after="0"/>
            </w:pPr>
          </w:p>
        </w:tc>
      </w:tr>
      <w:tr w14:paraId="1E117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3D2453F0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CAU-China</w:t>
            </w:r>
          </w:p>
          <w:p w14:paraId="5C29EDEB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526FF5D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7C22D833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Collaborator</w:t>
            </w:r>
          </w:p>
          <w:p w14:paraId="28BF40B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与团队的关系：合作方</w:t>
            </w:r>
          </w:p>
          <w:p w14:paraId="7DD07CC3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3166C2A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60921B7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70D25C03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0130AEA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We held an exchange meeting with other iGEM teams. At the meeting, CAU-China team chaired the exchange and shared advice on selection markers and transformation that shaped our knockouts.</w:t>
            </w:r>
          </w:p>
          <w:p w14:paraId="7EB5D6C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其他：我们与其他 iGEM 队伍开展了交流会。会上 CAU-China 队主持了交流，并分享了筛选标记与转化方面的经验，影响了我们的敲除方案。</w:t>
            </w:r>
          </w:p>
        </w:tc>
        <w:tc>
          <w:tcPr>
            <w:tcW w:w="238" w:type="dxa"/>
          </w:tcPr>
          <w:p w14:paraId="6CE99350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07B49C40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NEFU-China</w:t>
            </w:r>
          </w:p>
          <w:p w14:paraId="1FB3A147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5292464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76B8E2E9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Collaborator</w:t>
            </w:r>
          </w:p>
          <w:p w14:paraId="5021FA8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与团队的关系：合作方</w:t>
            </w:r>
          </w:p>
          <w:p w14:paraId="7212F642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7AF891F8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49BC5E4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E828EF7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2F24FE7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 xml:space="preserve">Other – We held an exchange meeting with other iGEM teams. At the meeting, NEFU-China team explained to us how </w:t>
            </w:r>
            <w:r>
              <w:rPr>
                <w:rFonts w:ascii="Arial" w:hAnsi="Arial" w:eastAsia="微软雅黑"/>
                <w:b w:val="0"/>
                <w:i/>
                <w:color w:val="333333"/>
                <w:sz w:val="15"/>
              </w:rPr>
              <w:t>Yarrowia lipolytica</w:t>
            </w: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 xml:space="preserve"> differs from </w:t>
            </w:r>
            <w:r>
              <w:rPr>
                <w:rFonts w:ascii="Arial" w:hAnsi="Arial" w:eastAsia="微软雅黑"/>
                <w:b w:val="0"/>
                <w:i/>
                <w:color w:val="333333"/>
                <w:sz w:val="15"/>
              </w:rPr>
              <w:t>S. cerevisiae</w:t>
            </w: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 xml:space="preserve"> in genetic manipulation.</w:t>
            </w:r>
          </w:p>
          <w:p w14:paraId="6B38085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其他：我们与其他 iGEM 队伍开展了交流会。会上 NEFU-China 队向我们讲解了解脂耶氏酵母与酿酒酵母在遗传操作上的差别。</w:t>
            </w:r>
          </w:p>
        </w:tc>
        <w:tc>
          <w:tcPr>
            <w:tcW w:w="238" w:type="dxa"/>
          </w:tcPr>
          <w:p w14:paraId="24113132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2375C3BB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NKU-China</w:t>
            </w:r>
          </w:p>
          <w:p w14:paraId="7A3DF61B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36600D18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344F98D3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Collaborator</w:t>
            </w:r>
          </w:p>
          <w:p w14:paraId="1ECA8BE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与团队的关系：合作方</w:t>
            </w:r>
          </w:p>
          <w:p w14:paraId="5841BE9A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5AB754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A50682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2CC0E282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3E00D1E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We held an exchange meeting with other iGEM teams. At the meeting, NKU-China team presented a nematode biosensor on the same GPCR-to-MAPK architecture, which informed our liquid culture.</w:t>
            </w:r>
          </w:p>
          <w:p w14:paraId="52426EF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其他：我们与其他 iGEM 队伍开展了交流会。会上 NKU-China 队展示了同属 GPCR—MAPK 架构的线虫传感器，为我们的液体培养提供了参照。</w:t>
            </w:r>
          </w:p>
        </w:tc>
      </w:tr>
      <w:tr w14:paraId="51A99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exact"/>
        </w:trPr>
        <w:tc>
          <w:tcPr>
            <w:tcW w:w="4819" w:type="dxa"/>
          </w:tcPr>
          <w:p w14:paraId="5118D802">
            <w:pPr>
              <w:spacing w:before="0" w:after="0"/>
            </w:pPr>
          </w:p>
        </w:tc>
        <w:tc>
          <w:tcPr>
            <w:tcW w:w="238" w:type="dxa"/>
          </w:tcPr>
          <w:p w14:paraId="30850A50">
            <w:pPr>
              <w:spacing w:before="0" w:after="0"/>
            </w:pPr>
          </w:p>
        </w:tc>
        <w:tc>
          <w:tcPr>
            <w:tcW w:w="4819" w:type="dxa"/>
          </w:tcPr>
          <w:p w14:paraId="63F36F67">
            <w:pPr>
              <w:spacing w:before="0" w:after="0"/>
            </w:pPr>
          </w:p>
        </w:tc>
        <w:tc>
          <w:tcPr>
            <w:tcW w:w="238" w:type="dxa"/>
          </w:tcPr>
          <w:p w14:paraId="4435D44D">
            <w:pPr>
              <w:spacing w:before="0" w:after="0"/>
            </w:pPr>
          </w:p>
        </w:tc>
        <w:tc>
          <w:tcPr>
            <w:tcW w:w="4819" w:type="dxa"/>
          </w:tcPr>
          <w:p w14:paraId="62F70A9C">
            <w:pPr>
              <w:spacing w:before="0" w:after="0"/>
            </w:pPr>
          </w:p>
        </w:tc>
      </w:tr>
      <w:tr w14:paraId="5509F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6EAB94F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Keystone</w:t>
            </w:r>
          </w:p>
          <w:p w14:paraId="084C7773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4AE1714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7020E64E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Collaborator</w:t>
            </w:r>
          </w:p>
          <w:p w14:paraId="6778449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与团队的关系：合作方</w:t>
            </w:r>
          </w:p>
          <w:p w14:paraId="425C67A7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4689393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AB1CDC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2C52603F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1DD179D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We held an exchange meeting with other iGEM teams. At the meeting, Keystone team shared its secreted pectinases, kill switch and alginate immobilization, which were directly relevant to our work.</w:t>
            </w:r>
          </w:p>
          <w:p w14:paraId="711DCEF8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其他：我们与其他 iGEM 队伍开展了交流会。会上 Keystone 队分享了其分泌型果胶酶、自杀开关与海藻酸钠固定的做法，与我们的工作直接相关。</w:t>
            </w:r>
          </w:p>
        </w:tc>
        <w:tc>
          <w:tcPr>
            <w:tcW w:w="238" w:type="dxa"/>
          </w:tcPr>
          <w:p w14:paraId="25A92585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0C167A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SHSID</w:t>
            </w:r>
          </w:p>
          <w:p w14:paraId="0E027EB9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Academic</w:t>
            </w:r>
          </w:p>
          <w:p w14:paraId="47FC21ED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机构类型：学术型</w:t>
            </w:r>
          </w:p>
          <w:p w14:paraId="229409C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Collaborator</w:t>
            </w:r>
          </w:p>
          <w:p w14:paraId="7A5C815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与团队的关系：合作方</w:t>
            </w:r>
          </w:p>
          <w:p w14:paraId="0184121C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50EA494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5A254EF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6AE07202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020A555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We held an exchange meeting with other iGEM teams. At the meeting, SHSID team told us their chromogenic module did not express, so we built two reporter systems in parallel.</w:t>
            </w:r>
          </w:p>
          <w:p w14:paraId="30E968B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其他：我们与其他 iGEM 队伍开展了交流会。会上 SHSID 队告知我们其显色模块未能有效表达，我们据此并行构建了两套报告体系。</w:t>
            </w:r>
          </w:p>
        </w:tc>
        <w:tc>
          <w:tcPr>
            <w:tcW w:w="238" w:type="dxa"/>
          </w:tcPr>
          <w:p w14:paraId="469CDF9A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60FCCAFA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SGD (Saccharomyces Genome Database)</w:t>
            </w:r>
          </w:p>
          <w:p w14:paraId="20CD9A8A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Other（已修改）</w:t>
            </w:r>
          </w:p>
          <w:p w14:paraId="205EB9C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机构类型：其他（已修改）</w:t>
            </w:r>
          </w:p>
          <w:p w14:paraId="3CFFFE8F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Contractor（已修改）</w:t>
            </w:r>
          </w:p>
          <w:p w14:paraId="0574097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与团队的关系：承包商（已修改）</w:t>
            </w:r>
          </w:p>
          <w:p w14:paraId="3D4D5D7B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1BC1A44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1CCCF2C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37E2CC37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2C2EBE4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SGD provided the S288C reference genome and gene annotations we used to choose knockout targets.</w:t>
            </w:r>
          </w:p>
          <w:p w14:paraId="7750D8A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其他：SGD 提供了 S288C 参考基因组与基因注释，我们据此确定敲除靶点。</w:t>
            </w:r>
          </w:p>
        </w:tc>
      </w:tr>
      <w:tr w14:paraId="638ED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exact"/>
        </w:trPr>
        <w:tc>
          <w:tcPr>
            <w:tcW w:w="4819" w:type="dxa"/>
          </w:tcPr>
          <w:p w14:paraId="4C86970E">
            <w:pPr>
              <w:spacing w:before="0" w:after="0"/>
            </w:pPr>
          </w:p>
        </w:tc>
        <w:tc>
          <w:tcPr>
            <w:tcW w:w="238" w:type="dxa"/>
          </w:tcPr>
          <w:p w14:paraId="3AC569E8">
            <w:pPr>
              <w:spacing w:before="0" w:after="0"/>
            </w:pPr>
          </w:p>
        </w:tc>
        <w:tc>
          <w:tcPr>
            <w:tcW w:w="4819" w:type="dxa"/>
          </w:tcPr>
          <w:p w14:paraId="380B8B3B">
            <w:pPr>
              <w:spacing w:before="0" w:after="0"/>
            </w:pPr>
          </w:p>
        </w:tc>
        <w:tc>
          <w:tcPr>
            <w:tcW w:w="238" w:type="dxa"/>
          </w:tcPr>
          <w:p w14:paraId="67C9A99E">
            <w:pPr>
              <w:spacing w:before="0" w:after="0"/>
            </w:pPr>
          </w:p>
        </w:tc>
        <w:tc>
          <w:tcPr>
            <w:tcW w:w="4819" w:type="dxa"/>
          </w:tcPr>
          <w:p w14:paraId="1B3A51A0">
            <w:pPr>
              <w:spacing w:before="0" w:after="0"/>
            </w:pPr>
          </w:p>
        </w:tc>
      </w:tr>
      <w:tr w14:paraId="3C04E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3A4028EC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NCBI</w:t>
            </w:r>
          </w:p>
          <w:p w14:paraId="27B680CF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Other（已修改）</w:t>
            </w:r>
          </w:p>
          <w:p w14:paraId="15B9657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机构类型：其他（已修改）</w:t>
            </w:r>
          </w:p>
          <w:p w14:paraId="6B1FFA21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Contractor（已修改）</w:t>
            </w:r>
          </w:p>
          <w:p w14:paraId="450A1CA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与团队的关系：承包商（已修改）</w:t>
            </w:r>
          </w:p>
          <w:p w14:paraId="4397DDF0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78616484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46B7D52B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2424FBC8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2F9FDC0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NCBI provided the gene and protein sequences we used to verify our constructs.</w:t>
            </w:r>
          </w:p>
          <w:p w14:paraId="3933AC2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其他：NCBI 提供了用于核对构建体的基因与蛋白序列。</w:t>
            </w:r>
          </w:p>
        </w:tc>
        <w:tc>
          <w:tcPr>
            <w:tcW w:w="238" w:type="dxa"/>
          </w:tcPr>
          <w:p w14:paraId="02C134D4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698A74B4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CRISPOR</w:t>
            </w:r>
          </w:p>
          <w:p w14:paraId="15F5DC7D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Other（已修改）</w:t>
            </w:r>
          </w:p>
          <w:p w14:paraId="25EC40D9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机构类型：其他（已修改）</w:t>
            </w:r>
          </w:p>
          <w:p w14:paraId="0F4943F5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Contractor（已修改）</w:t>
            </w:r>
          </w:p>
          <w:p w14:paraId="43607F7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与团队的关系：承包商（已修改）</w:t>
            </w:r>
          </w:p>
          <w:p w14:paraId="5981DA74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17C475E8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3C526E8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EED7327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27B3892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CRISPOR provided guide RNA design and off-target scoring for our knockout experiments.</w:t>
            </w:r>
          </w:p>
          <w:p w14:paraId="7614B0A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其他：CRISPOR 为敲除实验提供了 guide RNA 设计与脱靶评分。</w:t>
            </w:r>
          </w:p>
        </w:tc>
        <w:tc>
          <w:tcPr>
            <w:tcW w:w="238" w:type="dxa"/>
          </w:tcPr>
          <w:p w14:paraId="1BFBC4C7"/>
        </w:tc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40D84458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Benchling</w:t>
            </w:r>
          </w:p>
          <w:p w14:paraId="2A4DC1E5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Other（已修改）</w:t>
            </w:r>
          </w:p>
          <w:p w14:paraId="6E5872A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机构类型：其他（已修改）</w:t>
            </w:r>
          </w:p>
          <w:p w14:paraId="256D35BE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Contractor（已修改）</w:t>
            </w:r>
          </w:p>
          <w:p w14:paraId="3A482C83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与团队的关系：承包商（已修改）</w:t>
            </w:r>
          </w:p>
          <w:p w14:paraId="2F673E44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7553E5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97F5592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0F544BF7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2F3F6DEE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Benchling provided guide RNA design, sequence editing and plasmid maps for our constructs.</w:t>
            </w:r>
          </w:p>
          <w:p w14:paraId="3D067C7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其他：Benchling 用于 guide RNA 设计、序列编辑与质粒图谱构建。</w:t>
            </w:r>
          </w:p>
        </w:tc>
      </w:tr>
      <w:tr w14:paraId="46E54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exact"/>
        </w:trPr>
        <w:tc>
          <w:tcPr>
            <w:tcW w:w="4819" w:type="dxa"/>
          </w:tcPr>
          <w:p w14:paraId="5C6D8D61">
            <w:pPr>
              <w:spacing w:before="0" w:after="0"/>
            </w:pPr>
          </w:p>
        </w:tc>
        <w:tc>
          <w:tcPr>
            <w:tcW w:w="238" w:type="dxa"/>
          </w:tcPr>
          <w:p w14:paraId="35942E4C">
            <w:pPr>
              <w:spacing w:before="0" w:after="0"/>
            </w:pPr>
          </w:p>
        </w:tc>
        <w:tc>
          <w:tcPr>
            <w:tcW w:w="4819" w:type="dxa"/>
          </w:tcPr>
          <w:p w14:paraId="54AAA41F">
            <w:pPr>
              <w:spacing w:before="0" w:after="0"/>
            </w:pPr>
          </w:p>
        </w:tc>
        <w:tc>
          <w:tcPr>
            <w:tcW w:w="238" w:type="dxa"/>
          </w:tcPr>
          <w:p w14:paraId="23D5871B">
            <w:pPr>
              <w:spacing w:before="0" w:after="0"/>
            </w:pPr>
          </w:p>
        </w:tc>
        <w:tc>
          <w:tcPr>
            <w:tcW w:w="4819" w:type="dxa"/>
          </w:tcPr>
          <w:p w14:paraId="0DBCE9F4">
            <w:pPr>
              <w:spacing w:before="0" w:after="0"/>
            </w:pPr>
          </w:p>
        </w:tc>
      </w:tr>
      <w:tr w14:paraId="59ADC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19" w:type="dxa"/>
            <w:tcBorders>
              <w:top w:val="single" w:color="DEDEDE" w:sz="6" w:space="0"/>
              <w:left w:val="single" w:color="DEDEDE" w:sz="6" w:space="0"/>
              <w:bottom w:val="single" w:color="DEDEDE" w:sz="6" w:space="0"/>
              <w:right w:val="single" w:color="DEDEDE" w:sz="6" w:space="0"/>
            </w:tcBorders>
            <w:tcMar>
              <w:top w:w="85" w:type="dxa"/>
              <w:left w:w="190" w:type="dxa"/>
              <w:bottom w:w="85" w:type="dxa"/>
              <w:right w:w="190" w:type="dxa"/>
            </w:tcMar>
            <w:vAlign w:val="top"/>
          </w:tcPr>
          <w:p w14:paraId="7EB8D3FF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SnapGene</w:t>
            </w:r>
          </w:p>
          <w:p w14:paraId="6DC003A7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Other（已修改）</w:t>
            </w:r>
          </w:p>
          <w:p w14:paraId="1FB84BEC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机构类型：其他（已修改）</w:t>
            </w:r>
          </w:p>
          <w:p w14:paraId="109C84FF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Contractor（已修改）</w:t>
            </w:r>
          </w:p>
          <w:p w14:paraId="138A16B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与团队的关系：承包商（已修改）</w:t>
            </w:r>
          </w:p>
          <w:p w14:paraId="1D6DAF98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任务</w:t>
            </w:r>
          </w:p>
          <w:p w14:paraId="2960A99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1BD50FE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1DE63969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 xml:space="preserve">Specific Tasks </w:t>
            </w: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具体任务</w:t>
            </w:r>
          </w:p>
          <w:p w14:paraId="21A9E731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SnapGene provided the sequence design and in silico cloning used to finalize our gene constructs.</w:t>
            </w:r>
          </w:p>
          <w:p w14:paraId="14E98C17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其他：SnapGene 用于最终的基因序列设计与克隆方案模拟。</w:t>
            </w:r>
          </w:p>
        </w:tc>
        <w:tc>
          <w:tcPr>
            <w:tcW w:w="238" w:type="dxa"/>
          </w:tcPr>
          <w:p w14:paraId="24BD0BB7"/>
        </w:tc>
        <w:tc>
          <w:tcPr>
            <w:tcW w:w="4819" w:type="dxa"/>
          </w:tcPr>
          <w:p w14:paraId="07F06964"/>
        </w:tc>
        <w:tc>
          <w:tcPr>
            <w:tcW w:w="238" w:type="dxa"/>
          </w:tcPr>
          <w:p w14:paraId="28913C91"/>
        </w:tc>
        <w:tc>
          <w:tcPr>
            <w:tcW w:w="4819" w:type="dxa"/>
          </w:tcPr>
          <w:p w14:paraId="3B4EA548"/>
        </w:tc>
      </w:tr>
      <w:tr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ClusPro（新增）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The ClusPro web server performed the rigid-body docking: 17 nanobodies were screened against H1N1, H3N2 and H5N1 hemagglutinin, with cross-reactivity checks against SARS, HIV1 and RSVF.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其他：ClusPro 网页服务器完成刚性对接：17 条纳米抗体分别与 H1N1、H3N2、H5N1 血凝素对接，并对 SARS、HIV1、RSVF 做交叉反应评估。</w:t>
            </w:r>
          </w:p>
        </w:tc>
        <w:tc>
          <w:tcPr>
            <w:tcW w:type="dxa" w:w="238"/>
          </w:tcPr>
          <w:p/>
        </w:tc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HADDOCK 2.5（新增）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Provided semi-flexible refinement for the hM1Dq-MT1, hM1Dq-Gpa1, Ste2p-MT1_5 and Ste2p-Gpa1 complexes; the web server handled single runs while the local build with CNS 1.3 was used for batch docking and redocking validation.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其他：对 hM1Dq–MT1、hM1Dq–Gpa1、Ste2p–MT1_5 与 Ste2p–Gpa1 复合物做半柔性精修；网页服务器跑单次对接，本地部署（CNS 1.3）用于批量对接与重对接验证。</w:t>
            </w:r>
          </w:p>
        </w:tc>
        <w:tc>
          <w:tcPr>
            <w:tcW w:type="dxa" w:w="238"/>
          </w:tcPr>
          <w:p/>
        </w:tc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CHARMM-GUI Membrane Builder（新增）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Built the membrane systems for hM1Dq + MT1, hM1Dq + Gpa alpha and Ste2p + MT1_5, including lipids, water and ions.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其他：构建 hM1Dq + MT1、hM1Dq + Gpaα、Ste2p + MT1_5 的膜体系，包含脂质、水与离子。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238"/>
          </w:tcPr>
          <w:p/>
        </w:tc>
        <w:tc>
          <w:tcPr>
            <w:tcW w:type="dxa" w:w="4819"/>
          </w:tcPr>
          <w:p/>
        </w:tc>
        <w:tc>
          <w:tcPr>
            <w:tcW w:type="dxa" w:w="238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OPM/PPM server（新增）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Provided membrane orientation and alignment for the membrane proteins before the systems were assembled.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其他：为膜蛋白提供膜取向与对齐信息，用于体系组装前的定位。</w:t>
            </w:r>
          </w:p>
        </w:tc>
        <w:tc>
          <w:tcPr>
            <w:tcW w:type="dxa" w:w="238"/>
          </w:tcPr>
          <w:p/>
        </w:tc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GROMACS 2025.2（新增）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Ran all molecular dynamics simulations, including the 100 ns production runs reported for Part 0, Path A and Path B.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其他：完成全部分子动力学模拟，包括 Part 0、Path A 与 Path B 的 100 ns 生产轨迹。</w:t>
            </w:r>
          </w:p>
        </w:tc>
        <w:tc>
          <w:tcPr>
            <w:tcW w:type="dxa" w:w="238"/>
          </w:tcPr>
          <w:p/>
        </w:tc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gmx_MMPBSA 1.5.0.3（新增）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On top of AmberTools 20, calculated the MM-GBSA binding free energies and the per-residue decomposition used to rank the candidate binders.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其他：基于 AmberTools 20 计算 MM-GBSA 结合自由能及逐残基分解，用于候选结合体排序。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238"/>
          </w:tcPr>
          <w:p/>
        </w:tc>
        <w:tc>
          <w:tcPr>
            <w:tcW w:type="dxa" w:w="4819"/>
          </w:tcPr>
          <w:p/>
        </w:tc>
        <w:tc>
          <w:tcPr>
            <w:tcW w:type="dxa" w:w="238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PyMOL（新增）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Used for structure superposition, interface residue analysis and the preparation of the structure figures.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其他：用于结构叠合、界面残基分析与结构图准备。</w:t>
            </w:r>
          </w:p>
        </w:tc>
        <w:tc>
          <w:tcPr>
            <w:tcW w:type="dxa" w:w="238"/>
          </w:tcPr>
          <w:p/>
        </w:tc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SPICE（新增）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Analysed the protein-protein interfaces for contacts, hydrogen bonds, salt bridges and hydrophobic interactions.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其他：分析蛋白—蛋白界面的接触、氢键、盐桥与疏水相互作用。</w:t>
            </w:r>
          </w:p>
        </w:tc>
        <w:tc>
          <w:tcPr>
            <w:tcW w:type="dxa" w:w="238"/>
          </w:tcPr>
          <w:p/>
        </w:tc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ChimeraX 1.12（新增）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Produced the three-dimensional renderings of the membrane systems and of the assembled gating system.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其他：渲染膜体系与门控系统组装体的三维图像。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238"/>
          </w:tcPr>
          <w:p/>
        </w:tc>
        <w:tc>
          <w:tcPr>
            <w:tcW w:type="dxa" w:w="4819"/>
          </w:tcPr>
          <w:p/>
        </w:tc>
        <w:tc>
          <w:tcPr>
            <w:tcW w:type="dxa" w:w="238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3Dmol.js（新增）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BSD-3-Clause. Interactive three-dimensional structure viewer on the Model page, bundled under static/js/3dmol/ in two builds (v2.5.5 and v2.0.1) together with its license file.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其他：BSD-3-Clause 许可。Model 页面上的交互式三维结构查看器，以两个版本（v2.5.5 与 v2.0.1）连同许可证文件打包在 static/js/3dmol/ 下。</w:t>
            </w:r>
          </w:p>
        </w:tc>
        <w:tc>
          <w:tcPr>
            <w:tcW w:type="dxa" w:w="238"/>
          </w:tcPr>
          <w:p/>
        </w:tc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Chart.js（新增）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MIT. Draws the burial-depth and per-residue plots inside the solvent-accessible-surface-area reports linked from the Model page; bundled at static/js/reports-lib/chart.umd.min.js (v4.4.0).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其他：MIT 许可。绘制 Model 页面溶剂可及表面积报告中的埋深图与逐残基图；打包于 static/js/reports-lib/chart.umd.min.js（v4.4.0）。</w:t>
            </w:r>
          </w:p>
        </w:tc>
        <w:tc>
          <w:tcPr>
            <w:tcW w:type="dxa" w:w="238"/>
          </w:tcPr>
          <w:p/>
        </w:tc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Bootstrap（新增）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MIT. Provides the tab strip, badges and table styling of the tabular-data reports on the Model page; bundled at static/js/reports-lib/ (v5.3.2).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其他：MIT 许可。为 Model 页面的表格化报告提供选项卡、徽章与表格样式；打包于 static/js/reports-lib/（v5.3.2）。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238"/>
          </w:tcPr>
          <w:p/>
        </w:tc>
        <w:tc>
          <w:tcPr>
            <w:tcW w:type="dxa" w:w="4819"/>
          </w:tcPr>
          <w:p/>
        </w:tc>
        <w:tc>
          <w:tcPr>
            <w:tcW w:type="dxa" w:w="238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 w14:paraId="55960209">
            <w:pPr>
              <w:spacing w:after="60"/>
            </w:pPr>
            <w:r>
              <w:rPr>
                <w:rFonts w:ascii="Arial" w:hAnsi="Arial" w:eastAsia="微软雅黑"/>
                <w:b/>
                <w:i w:val="0"/>
                <w:color w:val="1A1A1A"/>
                <w:sz w:val="23"/>
              </w:rPr>
              <w:t>FlexSearch（新增）</w:t>
            </w:r>
          </w:p>
          <w:p w14:paraId="10D26454">
            <w:pPr>
              <w:spacing w:before="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Institution Type: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088868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机构类型：其他</w:t>
            </w:r>
          </w:p>
          <w:p w14:paraId="292ED768">
            <w:pPr>
              <w:spacing w:before="8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5"/>
              </w:rPr>
              <w:t xml:space="preserve">Relationship to the Team: </w:t>
            </w: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Contractor</w:t>
            </w:r>
          </w:p>
          <w:p w14:paraId="167E9CCF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与团队的关系：承包商</w:t>
            </w:r>
          </w:p>
          <w:p w14:paraId="4BC98F5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Tasks 任务</w:t>
            </w:r>
          </w:p>
          <w:p w14:paraId="488FBEC6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595959"/>
                <w:sz w:val="15"/>
              </w:rPr>
              <w:t>Other</w:t>
            </w:r>
          </w:p>
          <w:p w14:paraId="7030E365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</w:t>
            </w:r>
          </w:p>
          <w:p w14:paraId="5808D7E5">
            <w:pPr>
              <w:spacing w:before="100" w:after="0" w:line="221" w:lineRule="auto"/>
            </w:pPr>
            <w:r>
              <w:rPr>
                <w:rFonts w:ascii="Arial" w:hAnsi="Arial" w:eastAsia="微软雅黑"/>
                <w:b/>
                <w:i w:val="0"/>
                <w:color w:val="1A1A1A"/>
                <w:sz w:val="19"/>
              </w:rPr>
              <w:t>Specific Tasks 具体任务</w:t>
            </w:r>
          </w:p>
          <w:p w14:paraId="679FA0BA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333333"/>
                <w:sz w:val="15"/>
              </w:rPr>
              <w:t>Other – Apache-2.0. Builds the full-text index behind the site search box; bundled at static/js/vendor/flexsearch.bundle.min.js, with a plain substring fallback when it is unavailable.</w:t>
            </w:r>
          </w:p>
          <w:p w14:paraId="5546D030">
            <w:pPr>
              <w:spacing w:before="0" w:after="0" w:line="221" w:lineRule="auto"/>
            </w:pPr>
            <w:r>
              <w:rPr>
                <w:rFonts w:ascii="Arial" w:hAnsi="Arial" w:eastAsia="微软雅黑"/>
                <w:b w:val="0"/>
                <w:i w:val="0"/>
                <w:color w:val="6E6E6E"/>
                <w:sz w:val="15"/>
              </w:rPr>
              <w:t>其他：Apache-2.0 许可。构建站点搜索框背后的全文索引；打包于 static/js/vendor/flexsearch.bundle.min.js，不可用时退化为子串匹配。</w:t>
            </w:r>
          </w:p>
        </w:tc>
        <w:tc>
          <w:tcPr>
            <w:tcW w:type="dxa" w:w="238"/>
          </w:tcPr>
          <w:p/>
        </w:tc>
        <w:tc>
          <w:tcPr>
            <w:tcW w:type="dxa" w:w="4819"/>
          </w:tcPr>
          <w:p/>
        </w:tc>
        <w:tc>
          <w:tcPr>
            <w:tcW w:type="dxa" w:w="238"/>
          </w:tcPr>
          <w:p/>
        </w:tc>
        <w:tc>
          <w:tcPr>
            <w:tcW w:type="dxa" w:w="4819"/>
          </w:tcPr>
          <w:p/>
        </w:tc>
      </w:tr>
    </w:tbl>
    <w:p w14:paraId="5E3C10BA"/>
    <w:sectPr>
      <w:pgSz w:w="16838" w:h="11906" w:orient="landscape"/>
      <w:pgMar w:top="510" w:right="907" w:bottom="397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9F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3320</Words>
  <Characters>9507</Characters>
  <Lines>0</Lines>
  <Paragraphs>0</Paragraphs>
  <TotalTime>14</TotalTime>
  <ScaleCrop>false</ScaleCrop>
  <LinksUpToDate>false</LinksUpToDate>
  <CharactersWithSpaces>10610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罗裕权</cp:lastModifiedBy>
  <dcterms:modified xsi:type="dcterms:W3CDTF">2026-10-17T17:53:18Z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eyJoZGlkIjoiNTdkYTUxNWQ4NjQ1YjhlYmFlOGIyYjg1ZTk3YjZmOGQiLCJ1c2VySWQiOiIxODgwOTAzMzY1In0=</vt:lpwstr>
  </property>
  <property fmtid="{D5CDD505-2E9C-101B-9397-08002B2CF9AE}" pid="3" name="KSOProductBuildVer">
    <vt:lpwstr>2052-12.1.0.28043</vt:lpwstr>
  </property>
  <property fmtid="{D5CDD505-2E9C-101B-9397-08002B2CF9AE}" pid="4" name="ICV">
    <vt:lpwstr>AAB26F5C4FF34E66908B58A227818F70_12</vt:lpwstr>
  </property>
</Properties>
</file>