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50ED79">
      <w:pPr>
        <w:rPr>
          <w:rFonts w:hint="default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第三方使用平台</w:t>
      </w:r>
    </w:p>
    <w:p w14:paraId="4BA1368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🏆 SGD (Saccharomyces Genome Database)</w:t>
      </w:r>
    </w:p>
    <w:p w14:paraId="196D8B9B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查找酵母的基因组序列，为实验设计找到对应靶点，以及基因</w:t>
      </w:r>
    </w:p>
    <w:p w14:paraId="7CC1FB5D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076575" cy="502285"/>
            <wp:effectExtent l="0" t="0" r="9525" b="571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t="10622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1407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网址: https://www.yeastgenome.org</w:t>
      </w:r>
    </w:p>
    <w:p w14:paraId="5843F5B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地位: 酵母研究的“黄金标准”，所有 S288C 衍生菌株（包括 BY4741）的参考序列都以此为准。NCBI 中的 S288C 数据也主要来源于此。</w:t>
      </w:r>
    </w:p>
    <w:p w14:paraId="1F8871B8">
      <w:pPr>
        <w:rPr>
          <w:rFonts w:hint="default" w:ascii="Times New Roman" w:hAnsi="Times New Roman" w:cs="Times New Roman"/>
          <w:sz w:val="28"/>
          <w:szCs w:val="28"/>
        </w:rPr>
      </w:pPr>
    </w:p>
    <w:p w14:paraId="0E14E2A2">
      <w:pPr>
        <w:rPr>
          <w:rFonts w:hint="default" w:ascii="Times New Roman" w:hAnsi="Times New Roman" w:cs="Times New Roman"/>
          <w:sz w:val="28"/>
          <w:szCs w:val="28"/>
        </w:rPr>
      </w:pPr>
    </w:p>
    <w:p w14:paraId="40B61323">
      <w:pPr>
        <w:rPr>
          <w:rFonts w:hint="default" w:ascii="Times New Roman" w:hAnsi="Times New Roman" w:cs="Times New Roman"/>
          <w:sz w:val="28"/>
          <w:szCs w:val="28"/>
        </w:rPr>
      </w:pPr>
    </w:p>
    <w:p w14:paraId="78DEFF27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NCBI，也是用来查找基因序列</w:t>
      </w:r>
    </w:p>
    <w:p w14:paraId="4A22EE88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038725" cy="952500"/>
            <wp:effectExtent l="0" t="0" r="317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79ED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"https://www.ncbi.nlm.nih.gov/"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5"/>
          <w:rFonts w:hint="default" w:ascii="Times New Roman" w:hAnsi="Times New Roman" w:cs="Times New Roman"/>
          <w:sz w:val="28"/>
          <w:szCs w:val="28"/>
        </w:rPr>
        <w:t>https://www.ncbi.nlm.nih.gov/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4BF715FC">
      <w:pPr>
        <w:rPr>
          <w:rFonts w:hint="default" w:ascii="Times New Roman" w:hAnsi="Times New Roman" w:cs="Times New Roman"/>
          <w:sz w:val="28"/>
          <w:szCs w:val="28"/>
        </w:rPr>
      </w:pPr>
    </w:p>
    <w:p w14:paraId="55A53B87">
      <w:pPr>
        <w:rPr>
          <w:rFonts w:hint="default" w:ascii="Times New Roman" w:hAnsi="Times New Roman" w:cs="Times New Roman"/>
          <w:sz w:val="28"/>
          <w:szCs w:val="28"/>
        </w:rPr>
      </w:pPr>
    </w:p>
    <w:p w14:paraId="22F4855D">
      <w:pPr>
        <w:rPr>
          <w:rFonts w:hint="default" w:ascii="Times New Roman" w:hAnsi="Times New Roman" w:cs="Times New Roman"/>
          <w:sz w:val="28"/>
          <w:szCs w:val="28"/>
        </w:rPr>
      </w:pPr>
    </w:p>
    <w:p w14:paraId="137CF1D3">
      <w:pPr>
        <w:rPr>
          <w:rFonts w:hint="default" w:ascii="Times New Roman" w:hAnsi="Times New Roman" w:cs="Times New Roman"/>
          <w:sz w:val="28"/>
          <w:szCs w:val="28"/>
        </w:rPr>
      </w:pPr>
    </w:p>
    <w:p w14:paraId="68802373">
      <w:pPr>
        <w:rPr>
          <w:rFonts w:hint="default" w:ascii="Times New Roman" w:hAnsi="Times New Roman" w:cs="Times New Roman"/>
          <w:sz w:val="28"/>
          <w:szCs w:val="28"/>
        </w:rPr>
      </w:pPr>
    </w:p>
    <w:p w14:paraId="5A230158">
      <w:pPr>
        <w:rPr>
          <w:rFonts w:hint="default" w:ascii="Times New Roman" w:hAnsi="Times New Roman" w:cs="Times New Roman"/>
          <w:sz w:val="28"/>
          <w:szCs w:val="28"/>
        </w:rPr>
      </w:pPr>
    </w:p>
    <w:p w14:paraId="19461C99">
      <w:pPr>
        <w:rPr>
          <w:rFonts w:hint="default" w:ascii="Times New Roman" w:hAnsi="Times New Roman" w:cs="Times New Roman"/>
          <w:sz w:val="28"/>
          <w:szCs w:val="28"/>
        </w:rPr>
      </w:pPr>
    </w:p>
    <w:p w14:paraId="6808840F">
      <w:pPr>
        <w:pStyle w:val="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fldChar w:fldCharType="begin"/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instrText xml:space="preserve"> HYPERLINK "https://zhida.zhihu.com/search?content_id=231305519&amp;content_type=Article&amp;match_order=1&amp;q=CRISPOR&amp;zd_token=eyJhbGciOiJIUzI1NiIsInR5cCI6IkpXVCJ9.eyJpc3MiOiJ6aGlkYV9zZXJ2ZXIiLCJleHAiOjE3ODU0OTE2ODYsInEiOiJDUklTUE9SIiwiemhpZGFfc291cmNlIjoiZW50aXR5IiwiY29udGVudF9pZCI6MjMxMzA1NTE5LCJjb250ZW50X3R5cGUiOiJBcnRpY2xlIiwibWF0Y2hfb3JkZXIiOjEsInpkX3Rva2VuIjpudWxsfQ.uiCXvTnmVRr5nktuE90LEHTHfTiPlqAOQtOV--PfolA&amp;zhida_source=entity" \t "https://zhuanlan.zhihu.com/p/_blank" </w:instrTex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fldChar w:fldCharType="separate"/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CRISPOR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fldChar w:fldCharType="end"/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：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设计guide RNA序列的网站。</w:t>
      </w:r>
    </w:p>
    <w:p w14:paraId="720DB155">
      <w:pPr>
        <w:pStyle w:val="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b/>
          <w:bCs/>
          <w:color w:val="09408E"/>
          <w:u w:val="none"/>
        </w:rPr>
      </w:pPr>
      <w:r>
        <w:drawing>
          <wp:inline distT="0" distB="0" distL="114300" distR="114300">
            <wp:extent cx="2286000" cy="485775"/>
            <wp:effectExtent l="0" t="0" r="0" b="952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46653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instrText xml:space="preserve"> HYPERLINK "https://link.zhihu.com/?target=http://crispor.tefor.net/" \t "https://zhuanlan.zhihu.com/p/_blank" </w:instrTex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http://crispor.tefor.net/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end"/>
      </w:r>
    </w:p>
    <w:p w14:paraId="2EAAB412">
      <w:pPr>
        <w:pStyle w:val="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</w:pPr>
    </w:p>
    <w:p w14:paraId="0D545123">
      <w:pPr>
        <w:pStyle w:val="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</w:p>
    <w:p w14:paraId="78B0364B">
      <w:pPr>
        <w:pStyle w:val="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Benchling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：设计guide RNA序列的网站</w:t>
      </w:r>
    </w:p>
    <w:p w14:paraId="7FF31BF4">
      <w:pPr>
        <w:pStyle w:val="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</w:pPr>
      <w:r>
        <w:drawing>
          <wp:inline distT="0" distB="0" distL="114300" distR="114300">
            <wp:extent cx="1638300" cy="476250"/>
            <wp:effectExtent l="0" t="0" r="0" b="6350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D34F2">
      <w:pPr>
        <w:pStyle w:val="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8"/>
          <w:szCs w:val="28"/>
          <w:shd w:val="clear" w:color="auto" w:fill="FFFFFF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8"/>
          <w:szCs w:val="28"/>
          <w:shd w:val="clear" w:color="auto" w:fill="FFFFFF"/>
        </w:rPr>
        <w:fldChar w:fldCharType="begin"/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8"/>
          <w:szCs w:val="28"/>
          <w:shd w:val="clear" w:color="auto" w:fill="FFFFFF"/>
        </w:rPr>
        <w:instrText xml:space="preserve"> HYPERLINK "https://www.benchling.com/" </w:instrTex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8"/>
          <w:szCs w:val="28"/>
          <w:shd w:val="clear" w:color="auto" w:fill="FFFFFF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aps w:val="0"/>
          <w:spacing w:val="0"/>
          <w:sz w:val="28"/>
          <w:szCs w:val="28"/>
          <w:shd w:val="clear" w:color="auto" w:fill="FFFFFF"/>
        </w:rPr>
        <w:t>https://www.benchling.com/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8"/>
          <w:szCs w:val="28"/>
          <w:shd w:val="clear" w:color="auto" w:fill="FFFFFF"/>
        </w:rPr>
        <w:fldChar w:fldCharType="end"/>
      </w:r>
    </w:p>
    <w:p w14:paraId="14516AF0">
      <w:pPr>
        <w:pStyle w:val="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8"/>
          <w:szCs w:val="28"/>
          <w:shd w:val="clear" w:color="auto" w:fill="FFFFFF"/>
        </w:rPr>
      </w:pPr>
    </w:p>
    <w:p w14:paraId="7CE3758B">
      <w:pPr>
        <w:pStyle w:val="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8"/>
          <w:szCs w:val="28"/>
          <w:shd w:val="clear" w:color="auto" w:fill="FFFFFF"/>
        </w:rPr>
      </w:pPr>
    </w:p>
    <w:p w14:paraId="524AEE62">
      <w:pPr>
        <w:pStyle w:val="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222222"/>
          <w:spacing w:val="0"/>
          <w:sz w:val="28"/>
          <w:szCs w:val="28"/>
          <w:shd w:val="clear" w:color="auto" w:fill="FFFFFF"/>
          <w:lang w:val="en-US" w:eastAsia="zh-CN"/>
        </w:rPr>
        <w:t>Snapgene，设计实验基因序列，用于最终设计基因</w:t>
      </w:r>
    </w:p>
    <w:p w14:paraId="76550620">
      <w:pPr>
        <w:pStyle w:val="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drawing>
          <wp:inline distT="0" distB="0" distL="114300" distR="114300">
            <wp:extent cx="2219325" cy="704850"/>
            <wp:effectExtent l="0" t="0" r="3175" b="6350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A4571">
      <w:pPr>
        <w:pStyle w:val="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软件</w:t>
      </w:r>
    </w:p>
    <w:p w14:paraId="41E4258E">
      <w:pPr>
        <w:rPr>
          <w:rFonts w:hint="eastAsia"/>
          <w:lang w:val="en-US" w:eastAsia="zh-CN"/>
        </w:rPr>
      </w:pPr>
    </w:p>
    <w:p w14:paraId="48367C22">
      <w:pPr>
        <w:rPr>
          <w:rFonts w:hint="eastAsia"/>
          <w:lang w:val="en-US" w:eastAsia="zh-CN"/>
        </w:rPr>
      </w:pPr>
    </w:p>
    <w:p w14:paraId="641D93AC">
      <w:pPr>
        <w:rPr>
          <w:rFonts w:hint="eastAsia"/>
          <w:lang w:val="en-US" w:eastAsia="zh-CN"/>
        </w:rPr>
      </w:pPr>
    </w:p>
    <w:p w14:paraId="4AD1FB09">
      <w:pPr>
        <w:rPr>
          <w:rFonts w:hint="eastAsia"/>
          <w:lang w:val="en-US" w:eastAsia="zh-CN"/>
        </w:rPr>
      </w:pPr>
    </w:p>
    <w:p w14:paraId="7AB51805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Model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Attribution</w:t>
      </w:r>
    </w:p>
    <w:p w14:paraId="5D63119E">
      <w:pPr>
        <w:rPr>
          <w:rFonts w:hint="eastAsia"/>
          <w:lang w:val="en-US" w:eastAsia="zh-CN"/>
        </w:rPr>
      </w:pPr>
    </w:p>
    <w:p w14:paraId="30D74E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This project used a range of computational tools for protein structure prediction, molecular docking, membrane system construction, molecular dynamics simulation, binding free energy calculation, interface analysis, and visualization. All physics-based simulations were performed on local hardware (RTX 4070 Ti, WSL 2 Ubuntu). AI tools were used only as assistants for command generation and troubleshooting, not as replacements for core scientific computations.</w:t>
      </w:r>
    </w:p>
    <w:p w14:paraId="2CDC725C">
      <w:pPr>
        <w:rPr>
          <w:rFonts w:hint="eastAsia"/>
          <w:lang w:val="en-US" w:eastAsia="zh-CN"/>
        </w:rPr>
      </w:pPr>
    </w:p>
    <w:p w14:paraId="61324A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1.Protein Structure Prediction</w:t>
      </w:r>
    </w:p>
    <w:p w14:paraId="561E832B">
      <w:pPr>
        <w:rPr>
          <w:rFonts w:hint="eastAsia"/>
          <w:lang w:val="en-US" w:eastAsia="zh-CN"/>
        </w:rPr>
      </w:pPr>
    </w:p>
    <w:p w14:paraId="537F69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 used AlphaFold2 (via ColabFold 1.6.2) for protein structure prediction. This included predicting the structures of 17 nanobodies, 8 α-factor inhibitory peptides, and the hM1Dq mutant (Y106C + A196G). Both AlphaFold2 and ColabFold were deployed locally. Reference: Jumper et al., Nature 2021; Mirdita et al., Nat Methods 2022.</w:t>
      </w:r>
    </w:p>
    <w:p w14:paraId="35DCA42B">
      <w:pPr>
        <w:rPr>
          <w:rFonts w:hint="eastAsia"/>
          <w:lang w:val="en-US" w:eastAsia="zh-CN"/>
        </w:rPr>
      </w:pPr>
    </w:p>
    <w:p w14:paraId="291E06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2.Molecular Docking</w:t>
      </w:r>
    </w:p>
    <w:p w14:paraId="6B59FFBC">
      <w:pPr>
        <w:rPr>
          <w:rFonts w:hint="eastAsia"/>
          <w:lang w:val="en-US" w:eastAsia="zh-CN"/>
        </w:rPr>
      </w:pPr>
    </w:p>
    <w:p w14:paraId="48E323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rigid-body protein–protein docking, we used the ClusPro web server to screen 17 nanobodies against H1N1, H3N2, and H5N1 hemagglutinin, and to assess cross-reactivity against SARS, HIV1, and RSVF. Reference: Kozakov et al., Nat Protoc 2017.</w:t>
      </w:r>
    </w:p>
    <w:p w14:paraId="7F2DCBE0">
      <w:pPr>
        <w:rPr>
          <w:rFonts w:hint="eastAsia"/>
          <w:lang w:val="en-US" w:eastAsia="zh-CN"/>
        </w:rPr>
      </w:pPr>
    </w:p>
    <w:p w14:paraId="583F79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semi-flexible refinement, we used HADDOCK 2.5 both via its web server and through a local deployment. The web server was used for hM1Dq–MT1, hM1Dq–Gpa1, Ste2p–MT1_5, and Ste2p–Gpa1 docking. The local deployment, including compilation of CNS 1.3, was used for batch docking and redocking validation. References: Dominguez et al., JACS 2003; Honorato et al., Nat Protoc 2024; Brünger et al., Acta Cryst 1998.</w:t>
      </w:r>
    </w:p>
    <w:p w14:paraId="62DA93B4">
      <w:pPr>
        <w:rPr>
          <w:rFonts w:hint="eastAsia"/>
          <w:lang w:val="en-US" w:eastAsia="zh-CN"/>
        </w:rPr>
      </w:pPr>
    </w:p>
    <w:p w14:paraId="5EF46D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3.Membrane System Construction</w:t>
      </w:r>
    </w:p>
    <w:p w14:paraId="00BDDA59">
      <w:pPr>
        <w:rPr>
          <w:rFonts w:hint="eastAsia"/>
          <w:lang w:val="en-US" w:eastAsia="zh-CN"/>
        </w:rPr>
      </w:pPr>
    </w:p>
    <w:p w14:paraId="6264F6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 used the CHARMM-GUI Membrane Builder web server to construct membrane systems for hM1Dq + MT1, hM1Dq + Gpaα, and Ste2p + MT1_5, including lipids, water, and ions. The OPM/PPM web server was used for membrane orientation and alignment of membrane proteins. References: Jo et al., J Comput Chem 2008; Lomize et al., Nucleic Acids Res 2012.</w:t>
      </w:r>
    </w:p>
    <w:p w14:paraId="2D65E3A6">
      <w:pPr>
        <w:rPr>
          <w:rFonts w:hint="eastAsia"/>
          <w:lang w:val="en-US" w:eastAsia="zh-CN"/>
        </w:rPr>
      </w:pPr>
    </w:p>
    <w:p w14:paraId="6CB89F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4.Molecular Dynamics Simulation</w:t>
      </w:r>
    </w:p>
    <w:p w14:paraId="02E3989D">
      <w:pPr>
        <w:rPr>
          <w:rFonts w:hint="eastAsia"/>
          <w:lang w:val="en-US" w:eastAsia="zh-CN"/>
        </w:rPr>
      </w:pPr>
    </w:p>
    <w:p w14:paraId="1B2F60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 used GROMACS 2025.2 for all molecular dynamics simulations, including 100 ns production runs for Part 0, Path A, and Path B. GROMACS was deployed locally. Reference: Abraham et al., SoftwareX 2015.</w:t>
      </w:r>
    </w:p>
    <w:p w14:paraId="0434ABCC">
      <w:pPr>
        <w:rPr>
          <w:rFonts w:hint="eastAsia"/>
          <w:lang w:val="en-US" w:eastAsia="zh-CN"/>
        </w:rPr>
      </w:pPr>
    </w:p>
    <w:p w14:paraId="347333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5.Binding Free Energy Calculation</w:t>
      </w:r>
    </w:p>
    <w:p w14:paraId="75AB8D9A">
      <w:pPr>
        <w:rPr>
          <w:rFonts w:hint="eastAsia"/>
          <w:lang w:val="en-US" w:eastAsia="zh-CN"/>
        </w:rPr>
      </w:pPr>
    </w:p>
    <w:p w14:paraId="39258F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 used gmx_MMPBSA 1.5.0.3 (based on AmberTools 20) for MM-GBSA binding free energy calculations and per-residue decomposition. Both tools were deployed locally. References: Valdés-Tresanco et al., J Chem Theory Comput 2021; Case et al., Amber 2020.</w:t>
      </w:r>
    </w:p>
    <w:p w14:paraId="587CCC68">
      <w:pPr>
        <w:rPr>
          <w:rFonts w:hint="eastAsia"/>
          <w:lang w:val="en-US" w:eastAsia="zh-CN"/>
        </w:rPr>
      </w:pPr>
    </w:p>
    <w:p w14:paraId="17B9A8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6.Interface and Interaction Analysis</w:t>
      </w:r>
    </w:p>
    <w:p w14:paraId="49364875">
      <w:pPr>
        <w:rPr>
          <w:rFonts w:hint="eastAsia"/>
          <w:lang w:val="en-US" w:eastAsia="zh-CN"/>
        </w:rPr>
      </w:pPr>
    </w:p>
    <w:p w14:paraId="53BBEA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 used PyMOL for structure superposition, interface residue analysis, and figure preparation. The SPICE web server was used to analyze protein–protein interface contacts, hydrogen bonds, salt bridges, and hydrophobic interactions. References: Schrödinger, LLC; Ashraf &amp; Lonardi, Nucleic Acids Res 2026.</w:t>
      </w:r>
    </w:p>
    <w:p w14:paraId="68F6B374">
      <w:pPr>
        <w:rPr>
          <w:rFonts w:hint="eastAsia"/>
          <w:lang w:val="en-US" w:eastAsia="zh-CN"/>
        </w:rPr>
      </w:pPr>
    </w:p>
    <w:p w14:paraId="67A652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7.Visualization and Rendering</w:t>
      </w:r>
    </w:p>
    <w:p w14:paraId="6288D60E">
      <w:pPr>
        <w:rPr>
          <w:rFonts w:hint="eastAsia"/>
          <w:lang w:val="en-US" w:eastAsia="zh-CN"/>
        </w:rPr>
      </w:pPr>
    </w:p>
    <w:p w14:paraId="1684D6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 used ChimeraX 1.12 for 3D rendering of membrane systems and assembly of the gating system, as well as PyMOL for structure visualization and figure preparation. Both were deployed locally. Reference: Pettersen et al., Protein Sci 2021.</w:t>
      </w:r>
    </w:p>
    <w:p w14:paraId="172C44F7">
      <w:pPr>
        <w:rPr>
          <w:rFonts w:hint="eastAsia"/>
          <w:lang w:val="en-US" w:eastAsia="zh-CN"/>
        </w:rPr>
      </w:pPr>
    </w:p>
    <w:p w14:paraId="68A327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8.AI-Assisted Tools</w:t>
      </w:r>
    </w:p>
    <w:p w14:paraId="27DD6111">
      <w:pPr>
        <w:rPr>
          <w:rFonts w:hint="eastAsia"/>
          <w:lang w:val="en-US" w:eastAsia="zh-CN"/>
        </w:rPr>
      </w:pPr>
    </w:p>
    <w:p w14:paraId="14A396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 used DeepSeek for AI-assisted command generation, script writing, troubleshooting, and data interpretation. This tool was used via web/API.</w:t>
      </w:r>
    </w:p>
    <w:p w14:paraId="2A196692">
      <w:pPr>
        <w:rPr>
          <w:rFonts w:hint="eastAsia"/>
          <w:lang w:val="en-US" w:eastAsia="zh-CN"/>
        </w:rPr>
      </w:pPr>
    </w:p>
    <w:p w14:paraId="05DE40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9.Local Deployment and Computing Environment</w:t>
      </w:r>
    </w:p>
    <w:p w14:paraId="0FBA0D9E">
      <w:pPr>
        <w:rPr>
          <w:rFonts w:hint="eastAsia"/>
          <w:lang w:val="en-US" w:eastAsia="zh-CN"/>
        </w:rPr>
      </w:pPr>
    </w:p>
    <w:p w14:paraId="103BD3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All local deployments were performed on a Windows machine running WSL 2 (Ubuntu). Anaconda was used for Python environment management, particularly for gmx_MMPBSA and ColabFold. An NVIDIA RTX 4070 Ti GPU (12 GB memory) was used for GROMACS GPU acceleration. The local HADDOCK deployment involved compiling CNS 1.3, configuring `haddock_config.ini`, and running `install.py` successfully. The local ColabFold deployment enabled batch prediction of nanobodies and peptides using AlphaFold2 inference.</w:t>
      </w:r>
    </w:p>
    <w:p w14:paraId="103BD3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（已修改）以上第三方平台与建模工具（SGD、NCBI、CRISPOR、Benchling、SnapGene，以及模型部分列出的 ClusPro、HADDOCK 2.5、CHARMM-GUI、OPM/PPM、GROMACS、gmx_MMPBSA、PyMOL、SPICE、ChimeraX）已全部并入 External Contributions 表，关系类型按官方枚举记为 Other；AlphaFold2（经 ColabFold 1.6.2）与 DeepSeek 属 AI 工具，只在 AI Tools 表登记，不在此表重复。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3273F"/>
    <w:rsid w:val="412A6DC5"/>
    <w:rsid w:val="4953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540</Words>
  <Characters>3193</Characters>
  <Lines>0</Lines>
  <Paragraphs>0</Paragraphs>
  <TotalTime>0</TotalTime>
  <ScaleCrop>false</ScaleCrop>
  <LinksUpToDate>false</LinksUpToDate>
  <CharactersWithSpaces>3699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2026-10-01T12:52:00Z</dcterms:created>
  <dc:creator>罗睿</dc:creator>
  <cp:lastModifiedBy>linli</cp:lastModifiedBy>
  <dcterms:modified xsi:type="dcterms:W3CDTF">2026-10-18T06:16:37Z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2052-12.1.0.29158</vt:lpwstr>
  </property>
  <property fmtid="{D5CDD505-2E9C-101B-9397-08002B2CF9AE}" pid="3" name="KSOTemplateDocerSaveRecord">
    <vt:lpwstr>eyJoZGlkIjoiNmYwMGVhZGUzZGQ5MmFlNGE0YjY0YTE2YmRhNmViYWEiLCJ1c2VySWQiOiIxODgwNjYzNzc0In0=</vt:lpwstr>
  </property>
  <property fmtid="{D5CDD505-2E9C-101B-9397-08002B2CF9AE}" pid="4" name="ICV">
    <vt:lpwstr>044A8EBF9F234F7E81A7A008AA2F8146_13</vt:lpwstr>
  </property>
</Properties>
</file>