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D715E">
      <w:pPr>
        <w:rPr>
          <w:rFonts w:hint="eastAsia"/>
        </w:rPr>
      </w:pPr>
      <w:r>
        <w:rPr>
          <w:rFonts w:hint="eastAsia"/>
        </w:rPr>
        <w:t>Contribution: A Computational-First Pipeline for Synthetic Biology</w:t>
      </w:r>
    </w:p>
    <w:p w14:paraId="57E72AEB">
      <w:pPr>
        <w:rPr>
          <w:rFonts w:hint="eastAsia"/>
        </w:rPr>
      </w:pPr>
    </w:p>
    <w:p w14:paraId="3D281462">
      <w:pPr>
        <w:rPr>
          <w:rFonts w:hint="eastAsia"/>
        </w:rPr>
      </w:pPr>
      <w:r>
        <w:rPr>
          <w:rFonts w:hint="eastAsia"/>
        </w:rPr>
        <w:t>EchoYeast's modeling work demonstrates the immense value of a computational-first strategy, particularly when experimental structures are unavailable. Our primary contribution is a reproducible, multi-scale molecular modeling pipeline that transforms raw sequences into actionable structural insights, providing a robust template for future iGEM teams.</w:t>
      </w:r>
    </w:p>
    <w:p w14:paraId="4FB245FB">
      <w:pPr>
        <w:rPr>
          <w:rFonts w:hint="eastAsia"/>
        </w:rPr>
      </w:pPr>
    </w:p>
    <w:p w14:paraId="4815C399">
      <w:pPr>
        <w:rPr>
          <w:rFonts w:hint="eastAsia"/>
        </w:rPr>
      </w:pPr>
      <w:r>
        <w:rPr>
          <w:rFonts w:hint="eastAsia"/>
        </w:rPr>
        <w:t xml:space="preserve">1. Accelerating Design: From 17 Candidates to 1 Lead </w:t>
      </w:r>
    </w:p>
    <w:p w14:paraId="7C578C02">
      <w:pPr>
        <w:rPr>
          <w:rFonts w:hint="eastAsia"/>
        </w:rPr>
      </w:pPr>
    </w:p>
    <w:p w14:paraId="041FF2BA">
      <w:pPr>
        <w:rPr>
          <w:rFonts w:hint="eastAsia"/>
        </w:rPr>
      </w:pPr>
      <w:r>
        <w:rPr>
          <w:rFonts w:hint="eastAsia"/>
        </w:rPr>
        <w:t>In synthetic biology, experimental screening of large candidate libraries is time-consuming and expensive. We addressed this by deploying a dual-stage docking pipeline (ClusPro rigid screening → HADDOCK semi-flexible refinement). By defining a novel Specificity Index, we quantitatively distinguished H1N1-specific nanobodies from cross-reactive ones. This approach converged 17 candidates to a single lead (R1aB6) without a single wet-lab assay, drastically reducing the experimental burden for the team.</w:t>
      </w:r>
    </w:p>
    <w:p w14:paraId="5E9ABA86">
      <w:pPr>
        <w:rPr>
          <w:rFonts w:hint="eastAsia"/>
        </w:rPr>
      </w:pPr>
    </w:p>
    <w:p w14:paraId="54A98A97">
      <w:pPr>
        <w:rPr>
          <w:rFonts w:hint="eastAsia"/>
        </w:rPr>
      </w:pPr>
      <w:r>
        <w:rPr>
          <w:rFonts w:hint="eastAsia"/>
        </w:rPr>
        <w:t>2. Uncovering Atomic-Level Mechanisms and Testable Hypotheses</w:t>
      </w:r>
    </w:p>
    <w:p w14:paraId="51F31AC8">
      <w:pPr>
        <w:rPr>
          <w:rFonts w:hint="eastAsia"/>
        </w:rPr>
      </w:pPr>
    </w:p>
    <w:p w14:paraId="282E67B6">
      <w:pPr>
        <w:rPr>
          <w:rFonts w:hint="eastAsia"/>
        </w:rPr>
      </w:pPr>
      <w:r>
        <w:rPr>
          <w:rFonts w:hint="eastAsia"/>
        </w:rPr>
        <w:t>Our model goes beyond static docking by integrating 100 ns GROMACS MD simulations and gmx_MMPBSA per-residue decomposition. This led to two key contributions:</w:t>
      </w:r>
    </w:p>
    <w:p w14:paraId="1B6F2770">
      <w:pPr>
        <w:rPr>
          <w:rFonts w:hint="eastAsia"/>
        </w:rPr>
      </w:pPr>
    </w:p>
    <w:p w14:paraId="45164C93">
      <w:pPr>
        <w:rPr>
          <w:rFonts w:hint="eastAsia"/>
        </w:rPr>
      </w:pPr>
      <w:r>
        <w:rPr>
          <w:rFonts w:hint="eastAsia"/>
        </w:rPr>
        <w:t>· Decoding the Gating Mechanism: We successfully mapped the atomic interfaces of both the hM1Dq and Ste2p gating systems, revealing how the MT1 peptides competitively occupy the orthosteric sites while leaving the intracellular G-protein coupling interfaces intact.</w:t>
      </w:r>
    </w:p>
    <w:p w14:paraId="3968E149">
      <w:pPr>
        <w:rPr>
          <w:rFonts w:hint="eastAsia"/>
        </w:rPr>
      </w:pPr>
      <w:r>
        <w:rPr>
          <w:rFonts w:hint="eastAsia"/>
        </w:rPr>
        <w:t>· Identifying the Hotspot: We discovered that ARG-B:31 acts as a crucial energetic hotspot (−5.46 kcal/mol) in the R1aB6-HA complex. This directly generated a testable hypothesis—the R31A mutant—which provides a precise target for the team’s future SPR/ELISA experiments.</w:t>
      </w:r>
    </w:p>
    <w:p w14:paraId="49980FC2">
      <w:pPr>
        <w:rPr>
          <w:rFonts w:hint="eastAsia"/>
        </w:rPr>
      </w:pPr>
    </w:p>
    <w:p w14:paraId="63ADAF92">
      <w:pPr>
        <w:rPr>
          <w:rFonts w:hint="eastAsia"/>
        </w:rPr>
      </w:pPr>
      <w:r>
        <w:rPr>
          <w:rFonts w:hint="eastAsia"/>
        </w:rPr>
        <w:t>3. A Blueprint for Reproducibility and Education</w:t>
      </w:r>
      <w:bookmarkStart w:id="0" w:name="_GoBack"/>
      <w:bookmarkEnd w:id="0"/>
    </w:p>
    <w:p w14:paraId="6F3E217B">
      <w:pPr>
        <w:rPr>
          <w:rFonts w:hint="eastAsia"/>
        </w:rPr>
      </w:pPr>
    </w:p>
    <w:p w14:paraId="6D012C1A">
      <w:r>
        <w:rPr>
          <w:rFonts w:hint="eastAsia"/>
        </w:rPr>
        <w:t>We provide a fully documented workflow, including all parameter files, analysis scripts, and HADDOCK/ClusPro inputs. Furthermore, we developed an interactive Card Game to translate our complex docking data into an engaging tool for public outreach and education. By integrating positive control validations (e.g., 9VH4 redocking), we ensure the pipeline's reliability and offer a transparent, reusable example for the iGEM community.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675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2026-10-17T06:17:18Z</dcterms:created>
  <dc:creator>罗睿</dc:creator>
  <cp:lastModifiedBy>mikeyer</cp:lastModifiedBy>
  <dcterms:modified xsi:type="dcterms:W3CDTF">2026-10-17T06:18:37Z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eyJoZGlkIjoiMmNmNmQ4OTYyZmQ0Yjc5MmRiOTM1OWE4NDA5MjMxMDkiLCJ1c2VySWQiOiIxNDE4NTUxNjI1In0=</vt:lpwstr>
  </property>
  <property fmtid="{D5CDD505-2E9C-101B-9397-08002B2CF9AE}" pid="4" name="ICV">
    <vt:lpwstr>79D427B62BBA47749A949E758D77B188_12</vt:lpwstr>
  </property>
</Properties>
</file>