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Times New Roman" w:hAnsi="Times New Roman" w:eastAsia="黑体"/>
          <w:b/>
          <w:color w:val="1F3B63"/>
          <w:sz w:val="36"/>
        </w:rPr>
        <w:t>Wet-wall cyclone bioaerosol sampling and optical detection instrument</w:t>
      </w:r>
    </w:p>
    <w:p>
      <w:pPr>
        <w:spacing w:before="0" w:after="100"/>
        <w:jc w:val="center"/>
      </w:pPr>
      <w:r>
        <w:rPr>
          <w:rFonts w:ascii="Times New Roman" w:hAnsi="Times New Roman" w:eastAsia="黑体"/>
          <w:b/>
          <w:color w:val="1F3B63"/>
          <w:sz w:val="36"/>
        </w:rPr>
        <w:t>Equipment technical requirements (complete instrument)</w:t>
      </w:r>
    </w:p>
    <w:p>
      <w:pPr>
        <w:spacing w:after="80"/>
        <w:jc w:val="center"/>
      </w:pPr>
      <w:r>
        <w:rPr>
          <w:rFonts w:ascii="Times New Roman" w:hAnsi="Times New Roman" w:eastAsia="宋体"/>
          <w:b w:val="0"/>
          <w:i w:val="0"/>
          <w:sz w:val="18"/>
        </w:rPr>
        <w:t>Wet-wall cyclone bioaerosol sampling and optical detection instrument — English version of the complete-instrument requirements.</w:t>
      </w:r>
    </w:p>
    <w:p>
      <w:pPr>
        <w:spacing w:after="80"/>
        <w:ind w:firstLine="420"/>
      </w:pPr>
      <w:r>
        <w:rPr>
          <w:rFonts w:ascii="Times New Roman" w:hAnsi="Times New Roman" w:eastAsia="宋体"/>
          <w:b w:val="0"/>
          <w:i w:val="0"/>
          <w:sz w:val="21"/>
        </w:rPr>
        <w:t>This document specifies the equipment requirements for the complete instrument of the Echo Yeast project, in eight parts: scope, normative references, terms and definitions, technical requirements, test methods, inspection rules, marking and packaging, and notes. The complete instrument is the overall goal of the project; the temperature-control module, the optical plug-in modules and the signal-acquisition circuit built so far follow the interfaces and figures set out here, and the display and host-computer functions will be implemented to this document once the core functions have been verified.</w:t>
      </w:r>
    </w:p>
    <w:p w14:paraId="41EFEA47">
      <w:pPr>
        <w:pStyle w:val="3"/>
        <w:bidi w:val="0"/>
        <w:rPr>
          <w:rFonts w:hint="default"/>
        </w:rPr>
      </w:pPr>
      <w:r>
        <w:rPr>
          <w:rFonts w:hint="default"/>
        </w:rPr>
        <w:t xml:space="preserve">1　Scope</w:t>
      </w:r>
    </w:p>
    <w:p w14:paraId="6D33DF80">
      <w:pPr>
        <w:bidi w:val="0"/>
      </w:pPr>
      <w:r>
        <w:rPr>
          <w:rFonts w:hint="default"/>
        </w:rPr>
        <w:t xml:space="preserve">This specification defines the terms and definitions, technical requirements, test methods and inspection rules of the wet-wall cyclone bioaerosol sampling and optical detection instrument, together with its marking, packaging, transport and storage. The instrument samples virus aerosols from ambient air, collects them in liquid, performs yeast whole-cell sensing and reads out the optical signal. It is intended for laboratory use and for use as a plug-in module of an air disinfection unit.</w:t>
      </w:r>
      <w:r>
        <w:rPr>
          <w:rFonts w:hint="default"/>
        </w:rPr>
        <w:br w:type="textWrapping"/>
      </w:r>
      <w:r>
        <w:rPr>
          <w:rFonts w:hint="default"/>
        </w:rPr>
        <w:t/>
      </w:r>
    </w:p>
    <w:p w14:paraId="36625E40">
      <w:pPr>
        <w:pStyle w:val="3"/>
        <w:bidi w:val="0"/>
        <w:jc w:val="left"/>
        <w:rPr>
          <w:rFonts w:hint="default"/>
        </w:rPr>
      </w:pPr>
      <w:r>
        <w:rPr>
          <w:rFonts w:hint="default"/>
        </w:rPr>
        <w:t xml:space="preserve">2　Normative references</w:t>
      </w:r>
    </w:p>
    <w:p w14:paraId="5F1C7700">
      <w:pPr>
        <w:bidi w:val="0"/>
        <w:rPr>
          <w:rFonts w:hint="default"/>
        </w:rPr>
      </w:pPr>
      <w:r>
        <w:rPr>
          <w:rFonts w:hint="default"/>
        </w:rPr>
        <w:t xml:space="preserve">The following documents are indispensable for the application of this specification. For dated references, only the dated edition applies.</w:t>
      </w:r>
    </w:p>
    <w:p w14:paraId="6E4A4FE8">
      <w:pPr>
        <w:bidi w:val="0"/>
      </w:pPr>
    </w:p>
    <w:p w14:paraId="13D74B80">
      <w:pPr>
        <w:bidi w:val="0"/>
      </w:pPr>
      <w:r>
        <w:rPr>
          <w:rFonts w:hint="default"/>
        </w:rPr>
        <w:t xml:space="preserve">GB/T 38517-2020 Particles — General requirements for bioaerosol sampling and analysis</w:t>
      </w:r>
    </w:p>
    <w:p w14:paraId="2D787838">
      <w:pPr>
        <w:bidi w:val="0"/>
      </w:pPr>
    </w:p>
    <w:p w14:paraId="51FAFA7E">
      <w:pPr>
        <w:bidi w:val="0"/>
      </w:pPr>
    </w:p>
    <w:p w14:paraId="6C963ED0">
      <w:pPr>
        <w:bidi w:val="0"/>
      </w:pPr>
      <w:r>
        <w:rPr>
          <w:rFonts w:hint="default"/>
        </w:rPr>
        <w:t xml:space="preserve">GB/T 1804-m General tolerances — Tolerances for linear and angular dimensions without individual tolerance indications</w:t>
      </w:r>
    </w:p>
    <w:p w14:paraId="08D73A11">
      <w:pPr>
        <w:bidi w:val="0"/>
      </w:pPr>
    </w:p>
    <w:p w14:paraId="14504FCC">
      <w:pPr>
        <w:bidi w:val="0"/>
      </w:pPr>
    </w:p>
    <w:p w14:paraId="0142BE5C">
      <w:pPr>
        <w:bidi w:val="0"/>
      </w:pPr>
      <w:r>
        <w:rPr>
          <w:rFonts w:hint="default"/>
        </w:rPr>
        <w:t xml:space="preserve">GB 9706.1 Medical electrical equipment — Part 1: General requirements for safety</w:t>
      </w:r>
    </w:p>
    <w:p w14:paraId="5892270E">
      <w:pPr>
        <w:bidi w:val="0"/>
      </w:pPr>
    </w:p>
    <w:p w14:paraId="1CB0513E">
      <w:pPr>
        <w:bidi w:val="0"/>
      </w:pPr>
    </w:p>
    <w:p w14:paraId="309B3F31">
      <w:pPr>
        <w:bidi w:val="0"/>
      </w:pPr>
      <w:r>
        <w:rPr>
          <w:rFonts w:hint="default"/>
        </w:rPr>
        <w:t xml:space="preserve">WS 648-2019 General hygiene requirements for air disinfection units (if used as a plug-in module of such a unit)</w:t>
      </w:r>
    </w:p>
    <w:p w14:paraId="36FDFDCC">
      <w:pPr>
        <w:bidi w:val="0"/>
      </w:pPr>
    </w:p>
    <w:p w14:paraId="53B06C4A">
      <w:pPr>
        <w:bidi w:val="0"/>
      </w:pPr>
    </w:p>
    <w:p w14:paraId="172BA48B">
      <w:pPr>
        <w:bidi w:val="0"/>
      </w:pPr>
      <w:r>
        <w:rPr>
          <w:rFonts w:hint="default"/>
        </w:rPr>
        <w:t xml:space="preserve">ISO 10993 Biological evaluation of medical devices</w:t>
      </w:r>
    </w:p>
    <w:p w14:paraId="3947B996">
      <w:pPr>
        <w:bidi w:val="0"/>
      </w:pPr>
    </w:p>
    <w:p w14:paraId="28AEB4E4">
      <w:pPr>
        <w:bidi w:val="0"/>
      </w:pPr>
    </w:p>
    <w:p w14:paraId="34EEDC46">
      <w:pPr>
        <w:bidi w:val="0"/>
      </w:pPr>
      <w:r>
        <w:rPr>
          <w:rFonts w:hint="default"/>
        </w:rPr>
        <w:t xml:space="preserve">USP Class VI biocompatibility requirements</w:t>
      </w:r>
    </w:p>
    <w:p w14:paraId="5E35D6E9">
      <w:pPr>
        <w:bidi w:val="0"/>
      </w:pPr>
    </w:p>
    <w:p w14:paraId="58745177">
      <w:pPr>
        <w:pStyle w:val="3"/>
        <w:bidi w:val="0"/>
        <w:jc w:val="left"/>
        <w:rPr>
          <w:rFonts w:hint="default" w:ascii="宋体" w:hAnsi="宋体" w:eastAsia="宋体" w:cs="宋体"/>
          <w:b/>
          <w:bCs/>
          <w:kern w:val="0"/>
          <w:sz w:val="36"/>
          <w:szCs w:val="36"/>
          <w:lang w:val="en-US" w:eastAsia="zh-CN" w:bidi="ar"/>
        </w:rPr>
      </w:pPr>
      <w:r>
        <w:rPr>
          <w:rFonts w:hint="default"/>
        </w:rPr>
        <w:t xml:space="preserve">3　Terms and definitions</w:t>
      </w:r>
      <w:r>
        <w:rPr>
          <w:rFonts w:hint="default"/>
          <w:lang w:val="en-US" w:eastAsia="zh-CN"/>
        </w:rPr>
        <w:t/>
      </w:r>
    </w:p>
    <w:p w14:paraId="669F58B4">
      <w:pPr>
        <w:bidi w:val="0"/>
        <w:rPr>
          <w:rFonts w:hint="default"/>
        </w:rPr>
      </w:pPr>
      <w:r>
        <w:rPr>
          <w:rFonts w:hint="default"/>
        </w:rPr>
        <w:t xml:space="preserve">The terms and definitions given in GB/T 38517-2020 apply to this specification.</w:t>
      </w:r>
    </w:p>
    <w:p w14:paraId="4F1FE1D1">
      <w:pPr>
        <w:pStyle w:val="3"/>
        <w:bidi w:val="0"/>
        <w:jc w:val="left"/>
        <w:rPr>
          <w:rFonts w:hint="default"/>
        </w:rPr>
      </w:pPr>
      <w:r>
        <w:rPr>
          <w:rFonts w:hint="default"/>
        </w:rPr>
        <w:t xml:space="preserve">4　Technical requirements</w:t>
      </w:r>
    </w:p>
    <w:p w14:paraId="38716BF2">
      <w:pPr>
        <w:pStyle w:val="4"/>
        <w:bidi w:val="0"/>
        <w:rPr>
          <w:rFonts w:hint="default"/>
        </w:rPr>
      </w:pPr>
      <w:r>
        <w:rPr>
          <w:rFonts w:hint="default"/>
        </w:rPr>
        <w:t xml:space="preserve">4.1　Overall performance</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74BE7BDD">
        <w:trPr>
          <w:tblHeader/>
          <w:cantSplit/>
        </w:trPr>
        <w:tc>
          <w:tcPr>
            <w:tcW w:w="2960" w:type="dxa"/>
            <w:shd w:val="clear"/>
            <w:tcMar>
              <w:top w:w="150" w:type="dxa"/>
              <w:left w:w="0" w:type="dxa"/>
              <w:bottom w:w="150" w:type="dxa"/>
              <w:right w:w="240" w:type="dxa"/>
            </w:tcMar>
            <w:vAlign w:val="center"/>
          </w:tcPr>
          <w:p w14:paraId="538F7C4D">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3AF8747D">
            <w:pPr>
              <w:bidi w:val="0"/>
              <w:rPr>
                <w:rFonts w:hint="default"/>
              </w:rPr>
            </w:pPr>
            <w:r>
              <w:rPr>
                <w:rFonts w:hint="default"/>
                <w:lang w:val="en-US" w:eastAsia="zh-CN"/>
                <w:sz w:val="18"/>
                <w:szCs w:val="18"/>
              </w:rPr>
              <w:t xml:space="preserve">Requirement</w:t>
            </w:r>
          </w:p>
        </w:tc>
      </w:tr>
      <w:tr w14:paraId="450847FF">
        <w:trPr>
          <w:cantSplit/>
        </w:trPr>
        <w:tc>
          <w:tcPr>
            <w:tcW w:w="2960" w:type="dxa"/>
            <w:shd w:val="clear"/>
            <w:tcMar>
              <w:top w:w="150" w:type="dxa"/>
              <w:left w:w="0" w:type="dxa"/>
              <w:bottom w:w="150" w:type="dxa"/>
              <w:right w:w="240" w:type="dxa"/>
            </w:tcMar>
            <w:vAlign w:val="center"/>
          </w:tcPr>
          <w:p w14:paraId="1171698E">
            <w:pPr>
              <w:bidi w:val="0"/>
              <w:rPr>
                <w:rFonts w:hint="default"/>
              </w:rPr>
            </w:pPr>
            <w:r>
              <w:rPr>
                <w:rFonts w:hint="default"/>
                <w:lang w:val="en-US" w:eastAsia="zh-CN"/>
                <w:sz w:val="18"/>
                <w:szCs w:val="18"/>
              </w:rPr>
              <w:t xml:space="preserve">Sampling method</w:t>
            </w:r>
          </w:p>
        </w:tc>
        <w:tc>
          <w:tcPr>
            <w:tcW w:w="6060" w:type="dxa"/>
            <w:shd w:val="clear"/>
            <w:tcMar>
              <w:top w:w="150" w:type="dxa"/>
              <w:left w:w="240" w:type="dxa"/>
              <w:bottom w:w="150" w:type="dxa"/>
              <w:right w:w="0" w:type="dxa"/>
            </w:tcMar>
            <w:vAlign w:val="center"/>
          </w:tcPr>
          <w:p w14:paraId="22F3CDF1">
            <w:pPr>
              <w:bidi w:val="0"/>
              <w:rPr>
                <w:rFonts w:hint="default"/>
              </w:rPr>
            </w:pPr>
            <w:r>
              <w:rPr>
                <w:rFonts w:hint="default"/>
                <w:lang w:val="en-US" w:eastAsia="zh-CN"/>
                <w:sz w:val="18"/>
                <w:szCs w:val="18"/>
              </w:rPr>
              <w:t xml:space="preserve">Centrifugal (cyclone) liquid sampling, in accordance with clause 4.2.4 of GB/T 38517-2020</w:t>
            </w:r>
          </w:p>
        </w:tc>
      </w:tr>
      <w:tr w14:paraId="5E692A03">
        <w:trPr>
          <w:cantSplit/>
        </w:trPr>
        <w:tc>
          <w:tcPr>
            <w:tcW w:w="2960" w:type="dxa"/>
            <w:shd w:val="clear"/>
            <w:tcMar>
              <w:top w:w="150" w:type="dxa"/>
              <w:left w:w="0" w:type="dxa"/>
              <w:bottom w:w="150" w:type="dxa"/>
              <w:right w:w="240" w:type="dxa"/>
            </w:tcMar>
            <w:vAlign w:val="center"/>
          </w:tcPr>
          <w:p w14:paraId="340F2A6B">
            <w:pPr>
              <w:bidi w:val="0"/>
              <w:rPr>
                <w:rFonts w:hint="default"/>
              </w:rPr>
            </w:pPr>
            <w:r>
              <w:rPr>
                <w:rFonts w:hint="default"/>
                <w:lang w:val="en-US" w:eastAsia="zh-CN"/>
                <w:sz w:val="18"/>
                <w:szCs w:val="18"/>
              </w:rPr>
              <w:t xml:space="preserve">Sampling flow rate</w:t>
            </w:r>
          </w:p>
        </w:tc>
        <w:tc>
          <w:tcPr>
            <w:tcW w:w="6060" w:type="dxa"/>
            <w:shd w:val="clear"/>
            <w:tcMar>
              <w:top w:w="150" w:type="dxa"/>
              <w:left w:w="240" w:type="dxa"/>
              <w:bottom w:w="150" w:type="dxa"/>
              <w:right w:w="0" w:type="dxa"/>
            </w:tcMar>
            <w:vAlign w:val="center"/>
          </w:tcPr>
          <w:p w14:paraId="76CEB569">
            <w:pPr>
              <w:bidi w:val="0"/>
              <w:rPr>
                <w:rFonts w:hint="default"/>
              </w:rPr>
            </w:pPr>
            <w:r>
              <w:rPr>
                <w:rFonts w:hint="default"/>
                <w:lang w:val="en-US" w:eastAsia="zh-CN"/>
                <w:sz w:val="18"/>
                <w:szCs w:val="18"/>
              </w:rPr>
              <w:t xml:space="preserve">100–300 L/min, adjustable, matched to the cyclone sampler</w:t>
            </w:r>
          </w:p>
        </w:tc>
      </w:tr>
      <w:tr w14:paraId="7DF5E418">
        <w:trPr>
          <w:cantSplit/>
        </w:trPr>
        <w:tc>
          <w:tcPr>
            <w:tcW w:w="2960" w:type="dxa"/>
            <w:shd w:val="clear"/>
            <w:tcMar>
              <w:top w:w="150" w:type="dxa"/>
              <w:left w:w="0" w:type="dxa"/>
              <w:bottom w:w="150" w:type="dxa"/>
              <w:right w:w="240" w:type="dxa"/>
            </w:tcMar>
            <w:vAlign w:val="center"/>
          </w:tcPr>
          <w:p w14:paraId="24D2267C">
            <w:pPr>
              <w:bidi w:val="0"/>
              <w:rPr>
                <w:rFonts w:hint="default"/>
              </w:rPr>
            </w:pPr>
            <w:r>
              <w:rPr>
                <w:rFonts w:hint="default"/>
                <w:lang w:val="en-US" w:eastAsia="zh-CN"/>
                <w:sz w:val="18"/>
                <w:szCs w:val="18"/>
              </w:rPr>
              <w:t xml:space="preserve">Sampling time</w:t>
            </w:r>
          </w:p>
        </w:tc>
        <w:tc>
          <w:tcPr>
            <w:tcW w:w="6060" w:type="dxa"/>
            <w:shd w:val="clear"/>
            <w:tcMar>
              <w:top w:w="150" w:type="dxa"/>
              <w:left w:w="240" w:type="dxa"/>
              <w:bottom w:w="150" w:type="dxa"/>
              <w:right w:w="0" w:type="dxa"/>
            </w:tcMar>
            <w:vAlign w:val="center"/>
          </w:tcPr>
          <w:p w14:paraId="12C2828E">
            <w:pPr>
              <w:bidi w:val="0"/>
              <w:rPr>
                <w:rFonts w:hint="default"/>
              </w:rPr>
            </w:pPr>
            <w:r>
              <w:rPr>
                <w:rFonts w:hint="default"/>
                <w:lang w:val="en-US" w:eastAsia="zh-CN"/>
                <w:sz w:val="18"/>
                <w:szCs w:val="18"/>
              </w:rPr>
              <w:t xml:space="preserve">15–30 min for virus aerosols, in accordance with clause 4.6.4.6 of GB/T 38517-2020</w:t>
            </w:r>
          </w:p>
        </w:tc>
      </w:tr>
      <w:tr w14:paraId="545C30DB">
        <w:trPr>
          <w:cantSplit/>
        </w:trPr>
        <w:tc>
          <w:tcPr>
            <w:tcW w:w="2960" w:type="dxa"/>
            <w:shd w:val="clear"/>
            <w:tcMar>
              <w:top w:w="150" w:type="dxa"/>
              <w:left w:w="0" w:type="dxa"/>
              <w:bottom w:w="150" w:type="dxa"/>
              <w:right w:w="240" w:type="dxa"/>
            </w:tcMar>
            <w:vAlign w:val="center"/>
          </w:tcPr>
          <w:p w14:paraId="0B29F3D2">
            <w:pPr>
              <w:bidi w:val="0"/>
              <w:rPr>
                <w:rFonts w:hint="default"/>
              </w:rPr>
            </w:pPr>
            <w:r>
              <w:rPr>
                <w:rFonts w:hint="default"/>
                <w:lang w:val="en-US" w:eastAsia="zh-CN"/>
                <w:sz w:val="18"/>
                <w:szCs w:val="18"/>
              </w:rPr>
              <w:t xml:space="preserve">Working volume</w:t>
            </w:r>
          </w:p>
        </w:tc>
        <w:tc>
          <w:tcPr>
            <w:tcW w:w="6060" w:type="dxa"/>
            <w:shd w:val="clear"/>
            <w:tcMar>
              <w:top w:w="150" w:type="dxa"/>
              <w:left w:w="240" w:type="dxa"/>
              <w:bottom w:w="150" w:type="dxa"/>
              <w:right w:w="0" w:type="dxa"/>
            </w:tcMar>
            <w:vAlign w:val="center"/>
          </w:tcPr>
          <w:p w14:paraId="065A4A4B">
            <w:pPr>
              <w:bidi w:val="0"/>
              <w:rPr>
                <w:rFonts w:hint="default"/>
              </w:rPr>
            </w:pPr>
            <w:r>
              <w:rPr>
                <w:rFonts w:hint="default"/>
                <w:lang w:val="en-US" w:eastAsia="zh-CN"/>
                <w:sz w:val="18"/>
                <w:szCs w:val="18"/>
              </w:rPr>
              <w:t xml:space="preserve">20 mL of liquid medium containing yeast, pre-loaded into the collection cup before sampling</w:t>
            </w:r>
          </w:p>
        </w:tc>
      </w:tr>
      <w:tr w14:paraId="441485CF">
        <w:trPr>
          <w:cantSplit/>
        </w:trPr>
        <w:tc>
          <w:tcPr>
            <w:tcW w:w="2960" w:type="dxa"/>
            <w:shd w:val="clear"/>
            <w:tcMar>
              <w:top w:w="150" w:type="dxa"/>
              <w:left w:w="0" w:type="dxa"/>
              <w:bottom w:w="150" w:type="dxa"/>
              <w:right w:w="240" w:type="dxa"/>
            </w:tcMar>
            <w:vAlign w:val="center"/>
          </w:tcPr>
          <w:p w14:paraId="43681EEF">
            <w:pPr>
              <w:bidi w:val="0"/>
              <w:rPr>
                <w:rFonts w:hint="default"/>
              </w:rPr>
            </w:pPr>
            <w:r>
              <w:rPr>
                <w:rFonts w:hint="default"/>
                <w:lang w:val="en-US" w:eastAsia="zh-CN"/>
                <w:sz w:val="18"/>
                <w:szCs w:val="18"/>
              </w:rPr>
              <w:t xml:space="preserve">Target analyte</w:t>
            </w:r>
          </w:p>
        </w:tc>
        <w:tc>
          <w:tcPr>
            <w:tcW w:w="6060" w:type="dxa"/>
            <w:shd w:val="clear"/>
            <w:tcMar>
              <w:top w:w="150" w:type="dxa"/>
              <w:left w:w="240" w:type="dxa"/>
              <w:bottom w:w="150" w:type="dxa"/>
              <w:right w:w="0" w:type="dxa"/>
            </w:tcMar>
            <w:vAlign w:val="center"/>
          </w:tcPr>
          <w:p w14:paraId="7190887D">
            <w:pPr>
              <w:bidi w:val="0"/>
              <w:rPr>
                <w:rFonts w:hint="default"/>
              </w:rPr>
            </w:pPr>
            <w:r>
              <w:rPr>
                <w:rFonts w:hint="default"/>
                <w:lang w:val="en-US" w:eastAsia="zh-CN"/>
                <w:sz w:val="18"/>
                <w:szCs w:val="18"/>
              </w:rPr>
              <w:t xml:space="preserve">HA protein on the surface of influenza A virus (H1N1)</w:t>
            </w:r>
          </w:p>
        </w:tc>
      </w:tr>
      <w:tr w14:paraId="2BA5CA9C">
        <w:trPr>
          <w:cantSplit/>
        </w:trPr>
        <w:tc>
          <w:tcPr>
            <w:tcW w:w="2960" w:type="dxa"/>
            <w:shd w:val="clear"/>
            <w:tcMar>
              <w:top w:w="150" w:type="dxa"/>
              <w:left w:w="0" w:type="dxa"/>
              <w:bottom w:w="150" w:type="dxa"/>
              <w:right w:w="240" w:type="dxa"/>
            </w:tcMar>
            <w:vAlign w:val="center"/>
          </w:tcPr>
          <w:p w14:paraId="4CDE7CEF">
            <w:pPr>
              <w:bidi w:val="0"/>
              <w:rPr>
                <w:rFonts w:hint="default"/>
              </w:rPr>
            </w:pPr>
            <w:r>
              <w:rPr>
                <w:rFonts w:hint="default"/>
                <w:lang w:val="en-US" w:eastAsia="zh-CN"/>
                <w:sz w:val="18"/>
                <w:szCs w:val="18"/>
              </w:rPr>
              <w:t xml:space="preserve">Detection principle</w:t>
            </w:r>
          </w:p>
        </w:tc>
        <w:tc>
          <w:tcPr>
            <w:tcW w:w="6060" w:type="dxa"/>
            <w:shd w:val="clear"/>
            <w:tcMar>
              <w:top w:w="150" w:type="dxa"/>
              <w:left w:w="240" w:type="dxa"/>
              <w:bottom w:w="150" w:type="dxa"/>
              <w:right w:w="0" w:type="dxa"/>
            </w:tcMar>
            <w:vAlign w:val="center"/>
          </w:tcPr>
          <w:p w14:paraId="10134F8A">
            <w:pPr>
              <w:bidi w:val="0"/>
              <w:rPr>
                <w:rFonts w:hint="default"/>
              </w:rPr>
            </w:pPr>
            <w:r>
              <w:rPr>
                <w:rFonts w:hint="default"/>
                <w:lang w:val="en-US" w:eastAsia="zh-CN"/>
                <w:sz w:val="18"/>
                <w:szCs w:val="18"/>
              </w:rPr>
              <w:t xml:space="preserve">After the HA protein binds the receptor displayed on the yeast surface, receptor auto-inhibition is relieved and the FUS1 promoter is activated through the MAPK pathway, inducing fluorescent protein expression; 485 nm serves only as the readout excitation wavelength, and the 528 nm fluorescence intensity gives a qualitative result</w:t>
            </w:r>
          </w:p>
        </w:tc>
      </w:tr>
      <w:tr w14:paraId="562AFABB">
        <w:trPr>
          <w:cantSplit/>
        </w:trPr>
        <w:tc>
          <w:tcPr>
            <w:tcW w:w="2960" w:type="dxa"/>
            <w:shd w:val="clear"/>
            <w:tcMar>
              <w:top w:w="150" w:type="dxa"/>
              <w:left w:w="0" w:type="dxa"/>
              <w:bottom w:w="150" w:type="dxa"/>
              <w:right w:w="240" w:type="dxa"/>
            </w:tcMar>
            <w:vAlign w:val="center"/>
          </w:tcPr>
          <w:p w14:paraId="7779F7DC">
            <w:pPr>
              <w:bidi w:val="0"/>
              <w:rPr>
                <w:rFonts w:hint="default"/>
              </w:rPr>
            </w:pPr>
            <w:r>
              <w:rPr>
                <w:rFonts w:hint="default"/>
                <w:lang w:val="en-US" w:eastAsia="zh-CN"/>
                <w:sz w:val="18"/>
                <w:szCs w:val="18"/>
              </w:rPr>
              <w:t xml:space="preserve">Detection type</w:t>
            </w:r>
          </w:p>
        </w:tc>
        <w:tc>
          <w:tcPr>
            <w:tcW w:w="6060" w:type="dxa"/>
            <w:shd w:val="clear"/>
            <w:tcMar>
              <w:top w:w="150" w:type="dxa"/>
              <w:left w:w="240" w:type="dxa"/>
              <w:bottom w:w="150" w:type="dxa"/>
              <w:right w:w="0" w:type="dxa"/>
            </w:tcMar>
            <w:vAlign w:val="center"/>
          </w:tcPr>
          <w:p w14:paraId="69BCAEDE">
            <w:pPr>
              <w:bidi w:val="0"/>
              <w:rPr>
                <w:rFonts w:hint="default"/>
              </w:rPr>
            </w:pPr>
            <w:r>
              <w:rPr>
                <w:rFonts w:hint="default"/>
                <w:lang w:val="en-US" w:eastAsia="zh-CN"/>
                <w:sz w:val="18"/>
                <w:szCs w:val="18"/>
              </w:rPr>
              <w:t xml:space="preserve">Qualitative (influenza A virus present / absent)</w:t>
            </w:r>
          </w:p>
        </w:tc>
      </w:tr>
      <w:tr w14:paraId="4C0C7123">
        <w:trPr>
          <w:cantSplit/>
        </w:trPr>
        <w:tc>
          <w:tcPr>
            <w:tcW w:w="2960" w:type="dxa"/>
            <w:shd w:val="clear"/>
            <w:tcMar>
              <w:top w:w="150" w:type="dxa"/>
              <w:left w:w="0" w:type="dxa"/>
              <w:bottom w:w="150" w:type="dxa"/>
              <w:right w:w="240" w:type="dxa"/>
            </w:tcMar>
            <w:vAlign w:val="center"/>
          </w:tcPr>
          <w:p w14:paraId="1D75787A">
            <w:pPr>
              <w:bidi w:val="0"/>
              <w:rPr>
                <w:rFonts w:hint="default"/>
              </w:rPr>
            </w:pPr>
            <w:r>
              <w:rPr>
                <w:rFonts w:hint="default"/>
                <w:lang w:val="en-US" w:eastAsia="zh-CN"/>
                <w:sz w:val="18"/>
                <w:szCs w:val="18"/>
              </w:rPr>
              <w:t xml:space="preserve">Response time</w:t>
            </w:r>
          </w:p>
        </w:tc>
        <w:tc>
          <w:tcPr>
            <w:tcW w:w="6060" w:type="dxa"/>
            <w:shd w:val="clear"/>
            <w:tcMar>
              <w:top w:w="150" w:type="dxa"/>
              <w:left w:w="240" w:type="dxa"/>
              <w:bottom w:w="150" w:type="dxa"/>
              <w:right w:w="0" w:type="dxa"/>
            </w:tcMar>
            <w:vAlign w:val="center"/>
          </w:tcPr>
          <w:p w14:paraId="44F8BEDF">
            <w:pPr>
              <w:bidi w:val="0"/>
              <w:rPr>
                <w:rFonts w:hint="default"/>
              </w:rPr>
            </w:pPr>
            <w:r>
              <w:rPr>
                <w:rFonts w:hint="default"/>
                <w:lang w:val="en-US" w:eastAsia="zh-CN"/>
                <w:sz w:val="18"/>
                <w:szCs w:val="18"/>
              </w:rPr>
              <w:t xml:space="preserve">Under ideal laboratory conditions a 528 nm fluorescence signal is detectable 5–15 minutes after the sample is added; the response time of the complete instrument is to be verified experimentally</w:t>
            </w:r>
          </w:p>
        </w:tc>
      </w:tr>
      <w:tr w14:paraId="407AE61B">
        <w:trPr>
          <w:cantSplit/>
        </w:trPr>
        <w:tc>
          <w:tcPr>
            <w:tcW w:w="2960" w:type="dxa"/>
            <w:shd w:val="clear"/>
            <w:tcMar>
              <w:top w:w="150" w:type="dxa"/>
              <w:left w:w="0" w:type="dxa"/>
              <w:bottom w:w="150" w:type="dxa"/>
              <w:right w:w="240" w:type="dxa"/>
            </w:tcMar>
            <w:vAlign w:val="center"/>
          </w:tcPr>
          <w:p w14:paraId="64DD1F25">
            <w:pPr>
              <w:bidi w:val="0"/>
              <w:rPr>
                <w:rFonts w:hint="default"/>
              </w:rPr>
            </w:pPr>
            <w:r>
              <w:rPr>
                <w:rFonts w:hint="default"/>
                <w:lang w:val="en-US" w:eastAsia="zh-CN"/>
                <w:sz w:val="18"/>
                <w:szCs w:val="18"/>
              </w:rPr>
              <w:t xml:space="preserve">Operating temperature</w:t>
            </w:r>
          </w:p>
        </w:tc>
        <w:tc>
          <w:tcPr>
            <w:tcW w:w="6060" w:type="dxa"/>
            <w:shd w:val="clear"/>
            <w:tcMar>
              <w:top w:w="150" w:type="dxa"/>
              <w:left w:w="240" w:type="dxa"/>
              <w:bottom w:w="150" w:type="dxa"/>
              <w:right w:w="0" w:type="dxa"/>
            </w:tcMar>
            <w:vAlign w:val="center"/>
          </w:tcPr>
          <w:p w14:paraId="0430D710">
            <w:pPr>
              <w:bidi w:val="0"/>
              <w:rPr>
                <w:rFonts w:hint="default"/>
              </w:rPr>
            </w:pPr>
            <w:r>
              <w:rPr>
                <w:rFonts w:hint="default"/>
                <w:lang w:val="en-US" w:eastAsia="zh-CN"/>
                <w:sz w:val="18"/>
                <w:szCs w:val="18"/>
              </w:rPr>
              <w:t xml:space="preserve">30 ± 0.5 °C (yeast culture temperature)</w:t>
            </w:r>
          </w:p>
        </w:tc>
      </w:tr>
      <w:tr w14:paraId="3B084189">
        <w:trPr>
          <w:cantSplit/>
        </w:trPr>
        <w:tc>
          <w:tcPr>
            <w:tcW w:w="2960" w:type="dxa"/>
            <w:shd w:val="clear"/>
            <w:tcMar>
              <w:top w:w="150" w:type="dxa"/>
              <w:left w:w="0" w:type="dxa"/>
              <w:bottom w:w="150" w:type="dxa"/>
              <w:right w:w="240" w:type="dxa"/>
            </w:tcMar>
            <w:vAlign w:val="center"/>
          </w:tcPr>
          <w:p w14:paraId="0B0BF8EE">
            <w:pPr>
              <w:bidi w:val="0"/>
              <w:rPr>
                <w:rFonts w:hint="default"/>
              </w:rPr>
            </w:pPr>
            <w:r>
              <w:rPr>
                <w:rFonts w:hint="default"/>
                <w:lang w:val="en-US" w:eastAsia="zh-CN"/>
                <w:sz w:val="18"/>
                <w:szCs w:val="18"/>
              </w:rPr>
              <w:t xml:space="preserve">Power supply</w:t>
            </w:r>
          </w:p>
        </w:tc>
        <w:tc>
          <w:tcPr>
            <w:tcW w:w="6060" w:type="dxa"/>
            <w:shd w:val="clear"/>
            <w:tcMar>
              <w:top w:w="150" w:type="dxa"/>
              <w:left w:w="240" w:type="dxa"/>
              <w:bottom w:w="150" w:type="dxa"/>
              <w:right w:w="0" w:type="dxa"/>
            </w:tcMar>
            <w:vAlign w:val="center"/>
          </w:tcPr>
          <w:p w14:paraId="760A48EB">
            <w:pPr>
              <w:bidi w:val="0"/>
              <w:rPr>
                <w:rFonts w:hint="default"/>
              </w:rPr>
            </w:pPr>
            <w:r>
              <w:rPr>
                <w:rFonts w:hint="default"/>
                <w:lang w:val="en-US" w:eastAsia="zh-CN"/>
                <w:sz w:val="18"/>
                <w:szCs w:val="18"/>
              </w:rPr>
              <w:t xml:space="preserve">AC 220 V ± 10%, 50 Hz; or DC 24 V / 5 A</w:t>
            </w:r>
          </w:p>
        </w:tc>
      </w:tr>
      <w:tr w14:paraId="7922637E">
        <w:trPr>
          <w:cantSplit/>
        </w:trPr>
        <w:tc>
          <w:tcPr>
            <w:tcW w:w="2960" w:type="dxa"/>
            <w:shd w:val="clear"/>
            <w:tcMar>
              <w:top w:w="150" w:type="dxa"/>
              <w:left w:w="0" w:type="dxa"/>
              <w:bottom w:w="150" w:type="dxa"/>
              <w:right w:w="240" w:type="dxa"/>
            </w:tcMar>
            <w:vAlign w:val="center"/>
          </w:tcPr>
          <w:p w14:paraId="2586722C">
            <w:pPr>
              <w:bidi w:val="0"/>
              <w:rPr>
                <w:rFonts w:hint="default"/>
              </w:rPr>
            </w:pPr>
            <w:r>
              <w:rPr>
                <w:rFonts w:hint="default"/>
                <w:lang w:val="en-US" w:eastAsia="zh-CN"/>
                <w:sz w:val="18"/>
                <w:szCs w:val="18"/>
              </w:rPr>
              <w:t xml:space="preserve">Dimensions</w:t>
            </w:r>
          </w:p>
        </w:tc>
        <w:tc>
          <w:tcPr>
            <w:tcW w:w="6060" w:type="dxa"/>
            <w:shd w:val="clear"/>
            <w:tcMar>
              <w:top w:w="150" w:type="dxa"/>
              <w:left w:w="240" w:type="dxa"/>
              <w:bottom w:w="150" w:type="dxa"/>
              <w:right w:w="0" w:type="dxa"/>
            </w:tcMar>
            <w:vAlign w:val="center"/>
          </w:tcPr>
          <w:p w14:paraId="3DF36888">
            <w:pPr>
              <w:bidi w:val="0"/>
              <w:rPr>
                <w:rFonts w:hint="default"/>
              </w:rPr>
            </w:pPr>
            <w:r>
              <w:rPr>
                <w:rFonts w:hint="default"/>
                <w:lang w:val="en-US" w:eastAsia="zh-CN"/>
                <w:sz w:val="18"/>
                <w:szCs w:val="18"/>
              </w:rPr>
              <w:t xml:space="preserve">Approx. 300 × 250 × 200 mm (subject to the final structural design)</w:t>
            </w:r>
          </w:p>
        </w:tc>
      </w:tr>
      <w:tr w14:paraId="40155720">
        <w:trPr>
          <w:cantSplit/>
        </w:trPr>
        <w:tc>
          <w:tcPr>
            <w:tcW w:w="2960" w:type="dxa"/>
            <w:shd w:val="clear"/>
            <w:tcMar>
              <w:top w:w="150" w:type="dxa"/>
              <w:left w:w="0" w:type="dxa"/>
              <w:bottom w:w="150" w:type="dxa"/>
              <w:right w:w="240" w:type="dxa"/>
            </w:tcMar>
            <w:vAlign w:val="center"/>
          </w:tcPr>
          <w:p w14:paraId="595D1463">
            <w:pPr>
              <w:bidi w:val="0"/>
              <w:rPr>
                <w:rFonts w:hint="default"/>
              </w:rPr>
            </w:pPr>
            <w:r>
              <w:rPr>
                <w:rFonts w:hint="default"/>
                <w:lang w:val="en-US" w:eastAsia="zh-CN"/>
                <w:sz w:val="18"/>
                <w:szCs w:val="18"/>
              </w:rPr>
              <w:t xml:space="preserve">Weight</w:t>
            </w:r>
          </w:p>
        </w:tc>
        <w:tc>
          <w:tcPr>
            <w:tcW w:w="6060" w:type="dxa"/>
            <w:shd w:val="clear"/>
            <w:tcMar>
              <w:top w:w="150" w:type="dxa"/>
              <w:left w:w="240" w:type="dxa"/>
              <w:bottom w:w="150" w:type="dxa"/>
              <w:right w:w="0" w:type="dxa"/>
            </w:tcMar>
            <w:vAlign w:val="center"/>
          </w:tcPr>
          <w:p w14:paraId="2F7E122B">
            <w:pPr>
              <w:bidi w:val="0"/>
              <w:rPr>
                <w:rFonts w:hint="default"/>
              </w:rPr>
            </w:pPr>
            <w:r>
              <w:rPr>
                <w:rFonts w:hint="default"/>
                <w:lang w:val="en-US" w:eastAsia="zh-CN"/>
                <w:sz w:val="18"/>
                <w:szCs w:val="18"/>
              </w:rPr>
              <w:t xml:space="preserve">≤ 5 kg</w:t>
            </w:r>
          </w:p>
        </w:tc>
      </w:tr>
    </w:tbl>
    <w:p w14:paraId="4C9668BE">
      <w:pPr>
        <w:pStyle w:val="4"/>
        <w:bidi w:val="0"/>
        <w:jc w:val="left"/>
        <w:rPr>
          <w:rFonts w:hint="default"/>
          <w:lang w:val="en-US" w:eastAsia="zh-CN"/>
        </w:rPr>
      </w:pPr>
      <w:r>
        <w:rPr>
          <w:rFonts w:hint="default"/>
        </w:rPr>
        <w:t xml:space="preserve">4.2　Structural requirements</w:t>
      </w:r>
      <w:r>
        <w:rPr>
          <w:rFonts w:hint="default"/>
          <w:lang w:val="en-US" w:eastAsia="zh-CN"/>
        </w:rPr>
        <w:t xml:space="preserve"/>
      </w:r>
    </w:p>
    <w:p w14:paraId="6B365489">
      <w:pPr>
        <w:bidi w:val="0"/>
        <w:rPr>
          <w:rFonts w:hint="default"/>
        </w:rPr>
      </w:pPr>
      <w:r>
        <w:rPr>
          <w:rFonts w:hint="default"/>
        </w:rPr>
        <w:t xml:space="preserve">4.2.1　Enclosure (3D printed)</w:t>
      </w:r>
    </w:p>
    <w:p w14:paraId="1B4FD826">
      <w:pPr>
        <w:bidi w:val="0"/>
        <w:rPr>
          <w:rFonts w:hint="default"/>
        </w:rPr>
      </w:pPr>
      <w:r>
        <w:rPr>
          <w:rFonts w:hint="default"/>
        </w:rPr>
        <w:t xml:space="preserve">The enclosure is manufactured by 3D printing, with the following requirements:</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39A11253">
        <w:trPr>
          <w:tblHeader/>
          <w:cantSplit/>
        </w:trPr>
        <w:tc>
          <w:tcPr>
            <w:tcW w:w="2960" w:type="dxa"/>
            <w:shd w:val="clear"/>
            <w:tcMar>
              <w:top w:w="150" w:type="dxa"/>
              <w:left w:w="0" w:type="dxa"/>
              <w:bottom w:w="150" w:type="dxa"/>
              <w:right w:w="240" w:type="dxa"/>
            </w:tcMar>
            <w:vAlign w:val="center"/>
          </w:tcPr>
          <w:p w14:paraId="305A40EC">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5918A4EA">
            <w:pPr>
              <w:bidi w:val="0"/>
              <w:rPr>
                <w:rFonts w:hint="default"/>
              </w:rPr>
            </w:pPr>
            <w:r>
              <w:rPr>
                <w:rFonts w:hint="default"/>
                <w:lang w:val="en-US" w:eastAsia="zh-CN"/>
                <w:sz w:val="18"/>
                <w:szCs w:val="18"/>
              </w:rPr>
              <w:t xml:space="preserve">Requirement</w:t>
            </w:r>
          </w:p>
        </w:tc>
      </w:tr>
      <w:tr w14:paraId="61F25DB9">
        <w:trPr>
          <w:cantSplit/>
        </w:trPr>
        <w:tc>
          <w:tcPr>
            <w:tcW w:w="2960" w:type="dxa"/>
            <w:shd w:val="clear"/>
            <w:tcMar>
              <w:top w:w="150" w:type="dxa"/>
              <w:left w:w="0" w:type="dxa"/>
              <w:bottom w:w="150" w:type="dxa"/>
              <w:right w:w="240" w:type="dxa"/>
            </w:tcMar>
            <w:vAlign w:val="center"/>
          </w:tcPr>
          <w:p w14:paraId="4FACBCB8">
            <w:pPr>
              <w:bidi w:val="0"/>
              <w:rPr>
                <w:rFonts w:hint="default"/>
              </w:rPr>
            </w:pPr>
            <w:r>
              <w:rPr>
                <w:rFonts w:hint="default"/>
                <w:lang w:val="en-US" w:eastAsia="zh-CN"/>
                <w:sz w:val="18"/>
                <w:szCs w:val="18"/>
              </w:rPr>
              <w:t xml:space="preserve">Printing material</w:t>
            </w:r>
          </w:p>
        </w:tc>
        <w:tc>
          <w:tcPr>
            <w:tcW w:w="6060" w:type="dxa"/>
            <w:shd w:val="clear"/>
            <w:tcMar>
              <w:top w:w="150" w:type="dxa"/>
              <w:left w:w="240" w:type="dxa"/>
              <w:bottom w:w="150" w:type="dxa"/>
              <w:right w:w="0" w:type="dxa"/>
            </w:tcMar>
            <w:vAlign w:val="center"/>
          </w:tcPr>
          <w:p w14:paraId="5F81D4F3">
            <w:pPr>
              <w:bidi w:val="0"/>
              <w:rPr>
                <w:rFonts w:hint="default"/>
              </w:rPr>
            </w:pPr>
            <w:r>
              <w:rPr>
                <w:rFonts w:hint="default"/>
                <w:lang w:val="en-US" w:eastAsia="zh-CN"/>
                <w:sz w:val="18"/>
                <w:szCs w:val="18"/>
              </w:rPr>
              <w:t xml:space="preserve">PETG, ABS or flame-retardant PC-ABS; if photopolymer resin is used it must be of a biocompatible grade that does not deform or yellow in long-term use</w:t>
            </w:r>
          </w:p>
        </w:tc>
      </w:tr>
      <w:tr w14:paraId="73A3A93D">
        <w:trPr>
          <w:cantSplit/>
        </w:trPr>
        <w:tc>
          <w:tcPr>
            <w:tcW w:w="2960" w:type="dxa"/>
            <w:shd w:val="clear"/>
            <w:tcMar>
              <w:top w:w="150" w:type="dxa"/>
              <w:left w:w="0" w:type="dxa"/>
              <w:bottom w:w="150" w:type="dxa"/>
              <w:right w:w="240" w:type="dxa"/>
            </w:tcMar>
            <w:vAlign w:val="center"/>
          </w:tcPr>
          <w:p w14:paraId="798AC286">
            <w:pPr>
              <w:bidi w:val="0"/>
              <w:rPr>
                <w:rFonts w:hint="default"/>
              </w:rPr>
            </w:pPr>
            <w:r>
              <w:rPr>
                <w:rFonts w:hint="default"/>
                <w:lang w:val="en-US" w:eastAsia="zh-CN"/>
                <w:sz w:val="18"/>
                <w:szCs w:val="18"/>
              </w:rPr>
              <w:t xml:space="preserve">Printing process</w:t>
            </w:r>
          </w:p>
        </w:tc>
        <w:tc>
          <w:tcPr>
            <w:tcW w:w="6060" w:type="dxa"/>
            <w:shd w:val="clear"/>
            <w:tcMar>
              <w:top w:w="150" w:type="dxa"/>
              <w:left w:w="240" w:type="dxa"/>
              <w:bottom w:w="150" w:type="dxa"/>
              <w:right w:w="0" w:type="dxa"/>
            </w:tcMar>
            <w:vAlign w:val="center"/>
          </w:tcPr>
          <w:p w14:paraId="686FCC21">
            <w:pPr>
              <w:bidi w:val="0"/>
              <w:rPr>
                <w:rFonts w:hint="default"/>
              </w:rPr>
            </w:pPr>
            <w:r>
              <w:rPr>
                <w:rFonts w:hint="default"/>
                <w:lang w:val="en-US" w:eastAsia="zh-CN"/>
                <w:sz w:val="18"/>
                <w:szCs w:val="18"/>
              </w:rPr>
              <w:t xml:space="preserve">FDM or SLA, layer height 0.1–0.2 mm, wall thickness ≥ 2 mm, infill ≥ 20%</w:t>
            </w:r>
          </w:p>
        </w:tc>
      </w:tr>
      <w:tr w14:paraId="2D83D07D">
        <w:trPr>
          <w:cantSplit/>
        </w:trPr>
        <w:tc>
          <w:tcPr>
            <w:tcW w:w="2960" w:type="dxa"/>
            <w:shd w:val="clear"/>
            <w:tcMar>
              <w:top w:w="150" w:type="dxa"/>
              <w:left w:w="0" w:type="dxa"/>
              <w:bottom w:w="150" w:type="dxa"/>
              <w:right w:w="240" w:type="dxa"/>
            </w:tcMar>
            <w:vAlign w:val="center"/>
          </w:tcPr>
          <w:p w14:paraId="4D006AD0">
            <w:pPr>
              <w:bidi w:val="0"/>
              <w:rPr>
                <w:rFonts w:hint="default"/>
              </w:rPr>
            </w:pPr>
            <w:r>
              <w:rPr>
                <w:rFonts w:hint="default"/>
                <w:lang w:val="en-US" w:eastAsia="zh-CN"/>
                <w:sz w:val="18"/>
                <w:szCs w:val="18"/>
              </w:rPr>
              <w:t xml:space="preserve">Dimensional accuracy</w:t>
            </w:r>
          </w:p>
        </w:tc>
        <w:tc>
          <w:tcPr>
            <w:tcW w:w="6060" w:type="dxa"/>
            <w:shd w:val="clear"/>
            <w:tcMar>
              <w:top w:w="150" w:type="dxa"/>
              <w:left w:w="240" w:type="dxa"/>
              <w:bottom w:w="150" w:type="dxa"/>
              <w:right w:w="0" w:type="dxa"/>
            </w:tcMar>
            <w:vAlign w:val="center"/>
          </w:tcPr>
          <w:p w14:paraId="0B6601A3">
            <w:pPr>
              <w:bidi w:val="0"/>
              <w:rPr>
                <w:rFonts w:hint="default"/>
              </w:rPr>
            </w:pPr>
            <w:r>
              <w:rPr>
                <w:rFonts w:hint="default"/>
                <w:lang w:val="en-US" w:eastAsia="zh-CN"/>
                <w:sz w:val="18"/>
                <w:szCs w:val="18"/>
              </w:rPr>
              <w:t xml:space="preserve">Critical mounting holes ±0.2 mm, general external form ±0.5 mm</w:t>
            </w:r>
          </w:p>
        </w:tc>
      </w:tr>
      <w:tr w14:paraId="537CA2A7">
        <w:trPr>
          <w:cantSplit/>
        </w:trPr>
        <w:tc>
          <w:tcPr>
            <w:tcW w:w="2960" w:type="dxa"/>
            <w:shd w:val="clear"/>
            <w:tcMar>
              <w:top w:w="150" w:type="dxa"/>
              <w:left w:w="0" w:type="dxa"/>
              <w:bottom w:w="150" w:type="dxa"/>
              <w:right w:w="240" w:type="dxa"/>
            </w:tcMar>
            <w:vAlign w:val="center"/>
          </w:tcPr>
          <w:p w14:paraId="5C44DF3D">
            <w:pPr>
              <w:bidi w:val="0"/>
              <w:rPr>
                <w:rFonts w:hint="default"/>
              </w:rPr>
            </w:pPr>
            <w:r>
              <w:rPr>
                <w:rFonts w:hint="default"/>
                <w:lang w:val="en-US" w:eastAsia="zh-CN"/>
                <w:sz w:val="18"/>
                <w:szCs w:val="18"/>
              </w:rPr>
              <w:t xml:space="preserve">Surface finish</w:t>
            </w:r>
          </w:p>
        </w:tc>
        <w:tc>
          <w:tcPr>
            <w:tcW w:w="6060" w:type="dxa"/>
            <w:shd w:val="clear"/>
            <w:tcMar>
              <w:top w:w="150" w:type="dxa"/>
              <w:left w:w="240" w:type="dxa"/>
              <w:bottom w:w="150" w:type="dxa"/>
              <w:right w:w="0" w:type="dxa"/>
            </w:tcMar>
            <w:vAlign w:val="center"/>
          </w:tcPr>
          <w:p w14:paraId="50BF9CEA">
            <w:pPr>
              <w:bidi w:val="0"/>
              <w:rPr>
                <w:rFonts w:hint="default"/>
              </w:rPr>
            </w:pPr>
            <w:r>
              <w:rPr>
                <w:rFonts w:hint="default"/>
                <w:lang w:val="en-US" w:eastAsia="zh-CN"/>
                <w:sz w:val="18"/>
                <w:szCs w:val="18"/>
              </w:rPr>
              <w:t xml:space="preserve">External surfaces sanded smooth; internal surfaces painted matt black (or lined with light-absorbing flock) to reduce stray light</w:t>
            </w:r>
          </w:p>
        </w:tc>
      </w:tr>
      <w:tr w14:paraId="6DF1553C">
        <w:trPr>
          <w:cantSplit/>
        </w:trPr>
        <w:tc>
          <w:tcPr>
            <w:tcW w:w="2960" w:type="dxa"/>
            <w:shd w:val="clear"/>
            <w:tcMar>
              <w:top w:w="150" w:type="dxa"/>
              <w:left w:w="0" w:type="dxa"/>
              <w:bottom w:w="150" w:type="dxa"/>
              <w:right w:w="240" w:type="dxa"/>
            </w:tcMar>
            <w:vAlign w:val="center"/>
          </w:tcPr>
          <w:p w14:paraId="3FEDA075">
            <w:pPr>
              <w:bidi w:val="0"/>
              <w:rPr>
                <w:rFonts w:hint="default"/>
              </w:rPr>
            </w:pPr>
            <w:r>
              <w:rPr>
                <w:rFonts w:hint="default"/>
                <w:lang w:val="en-US" w:eastAsia="zh-CN"/>
                <w:sz w:val="18"/>
                <w:szCs w:val="18"/>
              </w:rPr>
              <w:t xml:space="preserve">Light tightness</w:t>
            </w:r>
          </w:p>
        </w:tc>
        <w:tc>
          <w:tcPr>
            <w:tcW w:w="6060" w:type="dxa"/>
            <w:shd w:val="clear"/>
            <w:tcMar>
              <w:top w:w="150" w:type="dxa"/>
              <w:left w:w="240" w:type="dxa"/>
              <w:bottom w:w="150" w:type="dxa"/>
              <w:right w:w="0" w:type="dxa"/>
            </w:tcMar>
            <w:vAlign w:val="center"/>
          </w:tcPr>
          <w:p w14:paraId="5FB7F3A7">
            <w:pPr>
              <w:bidi w:val="0"/>
              <w:rPr>
                <w:rFonts w:hint="default"/>
              </w:rPr>
            </w:pPr>
            <w:r>
              <w:rPr>
                <w:rFonts w:hint="default"/>
                <w:lang w:val="en-US" w:eastAsia="zh-CN"/>
                <w:sz w:val="18"/>
                <w:szCs w:val="18"/>
              </w:rPr>
              <w:t xml:space="preserve">The optical detection region must be completely light-tight; every seam and vent needs a labyrinth structure or light-blocking foam so that no ambient light enters</w:t>
            </w:r>
          </w:p>
        </w:tc>
      </w:tr>
      <w:tr w14:paraId="66F5F448">
        <w:trPr>
          <w:cantSplit/>
        </w:trPr>
        <w:tc>
          <w:tcPr>
            <w:tcW w:w="2960" w:type="dxa"/>
            <w:shd w:val="clear"/>
            <w:tcMar>
              <w:top w:w="150" w:type="dxa"/>
              <w:left w:w="0" w:type="dxa"/>
              <w:bottom w:w="150" w:type="dxa"/>
              <w:right w:w="240" w:type="dxa"/>
            </w:tcMar>
            <w:vAlign w:val="center"/>
          </w:tcPr>
          <w:p w14:paraId="5C4C47B5">
            <w:pPr>
              <w:bidi w:val="0"/>
              <w:rPr>
                <w:rFonts w:hint="default"/>
              </w:rPr>
            </w:pPr>
            <w:r>
              <w:rPr>
                <w:rFonts w:hint="default"/>
                <w:lang w:val="en-US" w:eastAsia="zh-CN"/>
                <w:sz w:val="18"/>
                <w:szCs w:val="18"/>
              </w:rPr>
              <w:t xml:space="preserve">Heat dissipation</w:t>
            </w:r>
          </w:p>
        </w:tc>
        <w:tc>
          <w:tcPr>
            <w:tcW w:w="6060" w:type="dxa"/>
            <w:shd w:val="clear"/>
            <w:tcMar>
              <w:top w:w="150" w:type="dxa"/>
              <w:left w:w="240" w:type="dxa"/>
              <w:bottom w:w="150" w:type="dxa"/>
              <w:right w:w="0" w:type="dxa"/>
            </w:tcMar>
            <w:vAlign w:val="center"/>
          </w:tcPr>
          <w:p w14:paraId="1DCA5D55">
            <w:pPr>
              <w:bidi w:val="0"/>
              <w:rPr>
                <w:rFonts w:hint="default"/>
              </w:rPr>
            </w:pPr>
            <w:r>
              <w:rPr>
                <w:rFonts w:hint="default"/>
                <w:lang w:val="en-US" w:eastAsia="zh-CN"/>
                <w:sz w:val="18"/>
                <w:szCs w:val="18"/>
              </w:rPr>
              <w:t xml:space="preserve">Vents are provided but must remain light-tight; a labyrinth duct or a light-blocking mesh may be used</w:t>
            </w:r>
          </w:p>
        </w:tc>
      </w:tr>
      <w:tr w14:paraId="4839C210">
        <w:trPr>
          <w:cantSplit/>
        </w:trPr>
        <w:tc>
          <w:tcPr>
            <w:tcW w:w="2960" w:type="dxa"/>
            <w:shd w:val="clear"/>
            <w:tcMar>
              <w:top w:w="150" w:type="dxa"/>
              <w:left w:w="0" w:type="dxa"/>
              <w:bottom w:w="150" w:type="dxa"/>
              <w:right w:w="240" w:type="dxa"/>
            </w:tcMar>
            <w:vAlign w:val="center"/>
          </w:tcPr>
          <w:p w14:paraId="141FF303">
            <w:pPr>
              <w:bidi w:val="0"/>
              <w:rPr>
                <w:rFonts w:hint="default"/>
              </w:rPr>
            </w:pPr>
            <w:r>
              <w:rPr>
                <w:rFonts w:hint="default"/>
                <w:lang w:val="en-US" w:eastAsia="zh-CN"/>
                <w:sz w:val="18"/>
                <w:szCs w:val="18"/>
              </w:rPr>
              <w:t xml:space="preserve">Mounting interfaces</w:t>
            </w:r>
          </w:p>
        </w:tc>
        <w:tc>
          <w:tcPr>
            <w:tcW w:w="6060" w:type="dxa"/>
            <w:shd w:val="clear"/>
            <w:tcMar>
              <w:top w:w="150" w:type="dxa"/>
              <w:left w:w="240" w:type="dxa"/>
              <w:bottom w:w="150" w:type="dxa"/>
              <w:right w:w="0" w:type="dxa"/>
            </w:tcMar>
            <w:vAlign w:val="center"/>
          </w:tcPr>
          <w:p w14:paraId="6D2EF32D">
            <w:pPr>
              <w:bidi w:val="0"/>
              <w:rPr>
                <w:rFonts w:hint="default"/>
              </w:rPr>
            </w:pPr>
            <w:r>
              <w:rPr>
                <w:rFonts w:hint="default"/>
                <w:lang w:val="en-US" w:eastAsia="zh-CN"/>
                <w:sz w:val="18"/>
                <w:szCs w:val="18"/>
              </w:rPr>
              <w:t xml:space="preserve">M3/M4 heat-set inserts or threaded holes for the internal modules, screen, switches and so on</w:t>
            </w:r>
          </w:p>
        </w:tc>
      </w:tr>
      <w:tr w14:paraId="0DCF8E37">
        <w:trPr>
          <w:cantSplit/>
        </w:trPr>
        <w:tc>
          <w:tcPr>
            <w:tcW w:w="2960" w:type="dxa"/>
            <w:shd w:val="clear"/>
            <w:tcMar>
              <w:top w:w="150" w:type="dxa"/>
              <w:left w:w="0" w:type="dxa"/>
              <w:bottom w:w="150" w:type="dxa"/>
              <w:right w:w="240" w:type="dxa"/>
            </w:tcMar>
            <w:vAlign w:val="center"/>
          </w:tcPr>
          <w:p w14:paraId="73F05653">
            <w:pPr>
              <w:bidi w:val="0"/>
              <w:rPr>
                <w:rFonts w:hint="default"/>
              </w:rPr>
            </w:pPr>
            <w:r>
              <w:rPr>
                <w:rFonts w:hint="default"/>
                <w:lang w:val="en-US" w:eastAsia="zh-CN"/>
                <w:sz w:val="18"/>
                <w:szCs w:val="18"/>
              </w:rPr>
              <w:t xml:space="preserve">Flame retardancy</w:t>
            </w:r>
          </w:p>
        </w:tc>
        <w:tc>
          <w:tcPr>
            <w:tcW w:w="6060" w:type="dxa"/>
            <w:shd w:val="clear"/>
            <w:tcMar>
              <w:top w:w="150" w:type="dxa"/>
              <w:left w:w="240" w:type="dxa"/>
              <w:bottom w:w="150" w:type="dxa"/>
              <w:right w:w="0" w:type="dxa"/>
            </w:tcMar>
            <w:vAlign w:val="center"/>
          </w:tcPr>
          <w:p w14:paraId="4822712D">
            <w:pPr>
              <w:bidi w:val="0"/>
              <w:rPr>
                <w:rFonts w:hint="default"/>
              </w:rPr>
            </w:pPr>
            <w:r>
              <w:rPr>
                <w:rFonts w:hint="default"/>
                <w:lang w:val="en-US" w:eastAsia="zh-CN"/>
                <w:sz w:val="18"/>
                <w:szCs w:val="18"/>
              </w:rPr>
              <w:t xml:space="preserve">If the instrument is to pass GB 9706.1, the enclosure material must meet the corresponding flame-retardant rating (for example UL94 V-0)</w:t>
            </w:r>
          </w:p>
        </w:tc>
      </w:tr>
      <w:tr w14:paraId="215C0E0D">
        <w:trPr>
          <w:cantSplit/>
        </w:trPr>
        <w:tc>
          <w:tcPr>
            <w:tcW w:w="2960" w:type="dxa"/>
            <w:shd w:val="clear"/>
            <w:tcMar>
              <w:top w:w="150" w:type="dxa"/>
              <w:left w:w="0" w:type="dxa"/>
              <w:bottom w:w="150" w:type="dxa"/>
              <w:right w:w="240" w:type="dxa"/>
            </w:tcMar>
            <w:vAlign w:val="center"/>
          </w:tcPr>
          <w:p w14:paraId="18C6A99D">
            <w:pPr>
              <w:bidi w:val="0"/>
              <w:rPr>
                <w:rFonts w:hint="default"/>
              </w:rPr>
            </w:pPr>
            <w:r>
              <w:rPr>
                <w:rFonts w:hint="default"/>
                <w:lang w:val="en-US" w:eastAsia="zh-CN"/>
                <w:sz w:val="18"/>
                <w:szCs w:val="18"/>
              </w:rPr>
              <w:t xml:space="preserve">Other</w:t>
            </w:r>
          </w:p>
        </w:tc>
        <w:tc>
          <w:tcPr>
            <w:tcW w:w="6060" w:type="dxa"/>
            <w:shd w:val="clear"/>
            <w:tcMar>
              <w:top w:w="150" w:type="dxa"/>
              <w:left w:w="240" w:type="dxa"/>
              <w:bottom w:w="150" w:type="dxa"/>
              <w:right w:w="0" w:type="dxa"/>
            </w:tcMar>
            <w:vAlign w:val="center"/>
          </w:tcPr>
          <w:p w14:paraId="6862AF29">
            <w:pPr>
              <w:bidi w:val="0"/>
              <w:rPr>
                <w:rFonts w:hint="default"/>
              </w:rPr>
            </w:pPr>
            <w:r>
              <w:rPr>
                <w:rFonts w:hint="default"/>
                <w:lang w:val="en-US" w:eastAsia="zh-CN"/>
                <w:sz w:val="18"/>
                <w:szCs w:val="18"/>
              </w:rPr>
              <w:t xml:space="preserve">The enclosure should be easy to open, with access for debugging, a USB port and a power socket</w:t>
            </w:r>
          </w:p>
        </w:tc>
      </w:tr>
    </w:tbl>
    <w:p w14:paraId="285B0104">
      <w:pPr>
        <w:bidi w:val="0"/>
        <w:rPr>
          <w:rFonts w:hint="default"/>
        </w:rPr>
      </w:pPr>
      <w:r>
        <w:rPr>
          <w:rFonts w:hint="default"/>
        </w:rPr>
        <w:t xml:space="preserve">4.2.2　Inlet vessel (combined cyclone collection and optical detection chamber)</w:t>
      </w:r>
    </w:p>
    <w:p w14:paraId="06313750">
      <w:pPr>
        <w:bidi w:val="0"/>
        <w:rPr>
          <w:rFonts w:hint="default"/>
        </w:rPr>
      </w:pPr>
      <w:r>
        <w:rPr>
          <w:rFonts w:hint="default"/>
        </w:rPr>
        <w:t xml:space="preserve">The inlet vessel is a custom injection-moulded part in medical optical-grade COC, with the following structural requirements:</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011E654A">
        <w:trPr>
          <w:tblHeader/>
          <w:cantSplit/>
        </w:trPr>
        <w:tc>
          <w:tcPr>
            <w:tcW w:w="2960" w:type="dxa"/>
            <w:shd w:val="clear"/>
            <w:tcMar>
              <w:top w:w="150" w:type="dxa"/>
              <w:left w:w="0" w:type="dxa"/>
              <w:bottom w:w="150" w:type="dxa"/>
              <w:right w:w="240" w:type="dxa"/>
            </w:tcMar>
            <w:vAlign w:val="center"/>
          </w:tcPr>
          <w:p w14:paraId="2665D019">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680DB793">
            <w:pPr>
              <w:bidi w:val="0"/>
              <w:rPr>
                <w:rFonts w:hint="default"/>
              </w:rPr>
            </w:pPr>
            <w:r>
              <w:rPr>
                <w:rFonts w:hint="default"/>
                <w:lang w:val="en-US" w:eastAsia="zh-CN"/>
                <w:sz w:val="18"/>
                <w:szCs w:val="18"/>
              </w:rPr>
              <w:t xml:space="preserve">Requirement</w:t>
            </w:r>
          </w:p>
        </w:tc>
      </w:tr>
      <w:tr w14:paraId="7F1C6987">
        <w:trPr>
          <w:cantSplit/>
        </w:trPr>
        <w:tc>
          <w:tcPr>
            <w:tcW w:w="2960" w:type="dxa"/>
            <w:shd w:val="clear"/>
            <w:tcMar>
              <w:top w:w="150" w:type="dxa"/>
              <w:left w:w="0" w:type="dxa"/>
              <w:bottom w:w="150" w:type="dxa"/>
              <w:right w:w="240" w:type="dxa"/>
            </w:tcMar>
            <w:vAlign w:val="center"/>
          </w:tcPr>
          <w:p w14:paraId="2D40C281">
            <w:pPr>
              <w:bidi w:val="0"/>
              <w:rPr>
                <w:rFonts w:hint="default"/>
              </w:rPr>
            </w:pPr>
            <w:r>
              <w:rPr>
                <w:rFonts w:hint="default"/>
                <w:lang w:val="en-US" w:eastAsia="zh-CN"/>
                <w:sz w:val="18"/>
                <w:szCs w:val="18"/>
              </w:rPr>
              <w:t xml:space="preserve">Material</w:t>
            </w:r>
          </w:p>
        </w:tc>
        <w:tc>
          <w:tcPr>
            <w:tcW w:w="6060" w:type="dxa"/>
            <w:shd w:val="clear"/>
            <w:tcMar>
              <w:top w:w="150" w:type="dxa"/>
              <w:left w:w="240" w:type="dxa"/>
              <w:bottom w:w="150" w:type="dxa"/>
              <w:right w:w="0" w:type="dxa"/>
            </w:tcMar>
            <w:vAlign w:val="center"/>
          </w:tcPr>
          <w:p w14:paraId="00F93586">
            <w:pPr>
              <w:bidi w:val="0"/>
              <w:rPr>
                <w:rFonts w:hint="default"/>
              </w:rPr>
            </w:pPr>
            <w:r>
              <w:rPr>
                <w:rFonts w:hint="default"/>
                <w:lang w:val="en-US" w:eastAsia="zh-CN"/>
                <w:sz w:val="18"/>
                <w:szCs w:val="18"/>
              </w:rPr>
              <w:t xml:space="preserve">Medical optical-grade COC (TOPAS 6017 or equivalent), transmittance ≥ 90% at 485/528 nm, very low intrinsic fluorescence</w:t>
            </w:r>
          </w:p>
        </w:tc>
      </w:tr>
      <w:tr w14:paraId="2380CDC0">
        <w:trPr>
          <w:cantSplit/>
        </w:trPr>
        <w:tc>
          <w:tcPr>
            <w:tcW w:w="2960" w:type="dxa"/>
            <w:shd w:val="clear"/>
            <w:tcMar>
              <w:top w:w="150" w:type="dxa"/>
              <w:left w:w="0" w:type="dxa"/>
              <w:bottom w:w="150" w:type="dxa"/>
              <w:right w:w="240" w:type="dxa"/>
            </w:tcMar>
            <w:vAlign w:val="center"/>
          </w:tcPr>
          <w:p w14:paraId="10CEE743">
            <w:pPr>
              <w:bidi w:val="0"/>
              <w:rPr>
                <w:rFonts w:hint="default"/>
              </w:rPr>
            </w:pPr>
            <w:r>
              <w:rPr>
                <w:rFonts w:hint="default"/>
                <w:lang w:val="en-US" w:eastAsia="zh-CN"/>
                <w:sz w:val="18"/>
                <w:szCs w:val="18"/>
              </w:rPr>
              <w:t xml:space="preserve">Thread</w:t>
            </w:r>
          </w:p>
        </w:tc>
        <w:tc>
          <w:tcPr>
            <w:tcW w:w="6060" w:type="dxa"/>
            <w:shd w:val="clear"/>
            <w:tcMar>
              <w:top w:w="150" w:type="dxa"/>
              <w:left w:w="240" w:type="dxa"/>
              <w:bottom w:w="150" w:type="dxa"/>
              <w:right w:w="0" w:type="dxa"/>
            </w:tcMar>
            <w:vAlign w:val="center"/>
          </w:tcPr>
          <w:p w14:paraId="376858A7">
            <w:pPr>
              <w:bidi w:val="0"/>
              <w:rPr>
                <w:rFonts w:hint="default"/>
              </w:rPr>
            </w:pPr>
            <w:r>
              <w:rPr>
                <w:rFonts w:hint="default"/>
                <w:lang w:val="en-US" w:eastAsia="zh-CN"/>
                <w:sz w:val="18"/>
                <w:szCs w:val="18"/>
              </w:rPr>
              <w:t xml:space="preserve">M28×1.5-6g, checked with go/no-go gauges; must screw onto the sampler smoothly and seal</w:t>
            </w:r>
          </w:p>
        </w:tc>
      </w:tr>
      <w:tr w14:paraId="0991A0CE">
        <w:trPr>
          <w:cantSplit/>
        </w:trPr>
        <w:tc>
          <w:tcPr>
            <w:tcW w:w="2960" w:type="dxa"/>
            <w:shd w:val="clear"/>
            <w:tcMar>
              <w:top w:w="150" w:type="dxa"/>
              <w:left w:w="0" w:type="dxa"/>
              <w:bottom w:w="150" w:type="dxa"/>
              <w:right w:w="240" w:type="dxa"/>
            </w:tcMar>
            <w:vAlign w:val="center"/>
          </w:tcPr>
          <w:p w14:paraId="22B140F4">
            <w:pPr>
              <w:bidi w:val="0"/>
              <w:rPr>
                <w:rFonts w:hint="default"/>
              </w:rPr>
            </w:pPr>
            <w:r>
              <w:rPr>
                <w:rFonts w:hint="default"/>
                <w:lang w:val="en-US" w:eastAsia="zh-CN"/>
                <w:sz w:val="18"/>
                <w:szCs w:val="18"/>
              </w:rPr>
              <w:t xml:space="preserve">Overall height</w:t>
            </w:r>
          </w:p>
        </w:tc>
        <w:tc>
          <w:tcPr>
            <w:tcW w:w="6060" w:type="dxa"/>
            <w:shd w:val="clear"/>
            <w:tcMar>
              <w:top w:w="150" w:type="dxa"/>
              <w:left w:w="240" w:type="dxa"/>
              <w:bottom w:w="150" w:type="dxa"/>
              <w:right w:w="0" w:type="dxa"/>
            </w:tcMar>
            <w:vAlign w:val="center"/>
          </w:tcPr>
          <w:p w14:paraId="75071D62">
            <w:pPr>
              <w:bidi w:val="0"/>
              <w:rPr>
                <w:rFonts w:hint="default"/>
              </w:rPr>
            </w:pPr>
            <w:r>
              <w:rPr>
                <w:rFonts w:hint="default"/>
                <w:lang w:val="en-US" w:eastAsia="zh-CN"/>
                <w:sz w:val="18"/>
                <w:szCs w:val="18"/>
              </w:rPr>
              <w:t xml:space="preserve">103 mm</w:t>
            </w:r>
          </w:p>
        </w:tc>
      </w:tr>
      <w:tr w14:paraId="16164E00">
        <w:trPr>
          <w:cantSplit/>
        </w:trPr>
        <w:tc>
          <w:tcPr>
            <w:tcW w:w="2960" w:type="dxa"/>
            <w:shd w:val="clear"/>
            <w:tcMar>
              <w:top w:w="150" w:type="dxa"/>
              <w:left w:w="0" w:type="dxa"/>
              <w:bottom w:w="150" w:type="dxa"/>
              <w:right w:w="240" w:type="dxa"/>
            </w:tcMar>
            <w:vAlign w:val="center"/>
          </w:tcPr>
          <w:p w14:paraId="0416F588">
            <w:pPr>
              <w:bidi w:val="0"/>
              <w:rPr>
                <w:rFonts w:hint="default"/>
              </w:rPr>
            </w:pPr>
            <w:r>
              <w:rPr>
                <w:rFonts w:hint="default"/>
                <w:lang w:val="en-US" w:eastAsia="zh-CN"/>
                <w:sz w:val="18"/>
                <w:szCs w:val="18"/>
              </w:rPr>
              <w:t xml:space="preserve">Cylindrical section</w:t>
            </w:r>
          </w:p>
        </w:tc>
        <w:tc>
          <w:tcPr>
            <w:tcW w:w="6060" w:type="dxa"/>
            <w:shd w:val="clear"/>
            <w:tcMar>
              <w:top w:w="150" w:type="dxa"/>
              <w:left w:w="240" w:type="dxa"/>
              <w:bottom w:w="150" w:type="dxa"/>
              <w:right w:w="0" w:type="dxa"/>
            </w:tcMar>
            <w:vAlign w:val="center"/>
          </w:tcPr>
          <w:p w14:paraId="59C032A2">
            <w:pPr>
              <w:bidi w:val="0"/>
              <w:rPr>
                <w:rFonts w:hint="default"/>
              </w:rPr>
            </w:pPr>
            <w:r>
              <w:rPr>
                <w:rFonts w:hint="default"/>
                <w:lang w:val="en-US" w:eastAsia="zh-CN"/>
                <w:sz w:val="18"/>
                <w:szCs w:val="18"/>
              </w:rPr>
              <w:t xml:space="preserve">Inner Ø32 mm, outer Ø36 mm, height 33 mm</w:t>
            </w:r>
          </w:p>
        </w:tc>
      </w:tr>
      <w:tr w14:paraId="637BF734">
        <w:trPr>
          <w:cantSplit/>
        </w:trPr>
        <w:tc>
          <w:tcPr>
            <w:tcW w:w="2960" w:type="dxa"/>
            <w:shd w:val="clear"/>
            <w:tcMar>
              <w:top w:w="150" w:type="dxa"/>
              <w:left w:w="0" w:type="dxa"/>
              <w:bottom w:w="150" w:type="dxa"/>
              <w:right w:w="240" w:type="dxa"/>
            </w:tcMar>
            <w:vAlign w:val="center"/>
          </w:tcPr>
          <w:p w14:paraId="28D38F19">
            <w:pPr>
              <w:bidi w:val="0"/>
              <w:rPr>
                <w:rFonts w:hint="default"/>
              </w:rPr>
            </w:pPr>
            <w:r>
              <w:rPr>
                <w:rFonts w:hint="default"/>
                <w:lang w:val="en-US" w:eastAsia="zh-CN"/>
                <w:sz w:val="18"/>
                <w:szCs w:val="18"/>
              </w:rPr>
              <w:t xml:space="preserve">Conical section</w:t>
            </w:r>
          </w:p>
        </w:tc>
        <w:tc>
          <w:tcPr>
            <w:tcW w:w="6060" w:type="dxa"/>
            <w:shd w:val="clear"/>
            <w:tcMar>
              <w:top w:w="150" w:type="dxa"/>
              <w:left w:w="240" w:type="dxa"/>
              <w:bottom w:w="150" w:type="dxa"/>
              <w:right w:w="0" w:type="dxa"/>
            </w:tcMar>
            <w:vAlign w:val="center"/>
          </w:tcPr>
          <w:p w14:paraId="091A828A">
            <w:pPr>
              <w:bidi w:val="0"/>
              <w:rPr>
                <w:rFonts w:hint="default"/>
              </w:rPr>
            </w:pPr>
            <w:r>
              <w:rPr>
                <w:rFonts w:hint="default"/>
                <w:lang w:val="en-US" w:eastAsia="zh-CN"/>
                <w:sz w:val="18"/>
                <w:szCs w:val="18"/>
              </w:rPr>
              <w:t xml:space="preserve">Vertical height 54.21 mm, half-angle 12° (included angle 168°), upper inner Ø32 mm, lower inner Ø12 mm</w:t>
            </w:r>
          </w:p>
        </w:tc>
      </w:tr>
      <w:tr w14:paraId="7ADC547B">
        <w:trPr>
          <w:cantSplit/>
        </w:trPr>
        <w:tc>
          <w:tcPr>
            <w:tcW w:w="2960" w:type="dxa"/>
            <w:shd w:val="clear"/>
            <w:tcMar>
              <w:top w:w="150" w:type="dxa"/>
              <w:left w:w="0" w:type="dxa"/>
              <w:bottom w:w="150" w:type="dxa"/>
              <w:right w:w="240" w:type="dxa"/>
            </w:tcMar>
            <w:vAlign w:val="center"/>
          </w:tcPr>
          <w:p w14:paraId="2D3061A1">
            <w:pPr>
              <w:bidi w:val="0"/>
              <w:rPr>
                <w:rFonts w:hint="default"/>
              </w:rPr>
            </w:pPr>
            <w:r>
              <w:rPr>
                <w:rFonts w:hint="default"/>
                <w:lang w:val="en-US" w:eastAsia="zh-CN"/>
                <w:sz w:val="18"/>
                <w:szCs w:val="18"/>
              </w:rPr>
              <w:t xml:space="preserve">Base</w:t>
            </w:r>
          </w:p>
        </w:tc>
        <w:tc>
          <w:tcPr>
            <w:tcW w:w="6060" w:type="dxa"/>
            <w:shd w:val="clear"/>
            <w:tcMar>
              <w:top w:w="150" w:type="dxa"/>
              <w:left w:w="240" w:type="dxa"/>
              <w:bottom w:w="150" w:type="dxa"/>
              <w:right w:w="0" w:type="dxa"/>
            </w:tcMar>
            <w:vAlign w:val="center"/>
          </w:tcPr>
          <w:p w14:paraId="5EC66519">
            <w:pPr>
              <w:bidi w:val="0"/>
              <w:rPr>
                <w:rFonts w:hint="default"/>
              </w:rPr>
            </w:pPr>
            <w:r>
              <w:rPr>
                <w:rFonts w:hint="default"/>
                <w:lang w:val="en-US" w:eastAsia="zh-CN"/>
                <w:sz w:val="18"/>
                <w:szCs w:val="18"/>
              </w:rPr>
              <w:t xml:space="preserve">Inner radius R6 mm, outer skirt R8 mm, outer base Ø36 mm</w:t>
            </w:r>
          </w:p>
        </w:tc>
      </w:tr>
      <w:tr w14:paraId="52F8777D">
        <w:trPr>
          <w:cantSplit/>
        </w:trPr>
        <w:tc>
          <w:tcPr>
            <w:tcW w:w="2960" w:type="dxa"/>
            <w:shd w:val="clear"/>
            <w:tcMar>
              <w:top w:w="150" w:type="dxa"/>
              <w:left w:w="0" w:type="dxa"/>
              <w:bottom w:w="150" w:type="dxa"/>
              <w:right w:w="240" w:type="dxa"/>
            </w:tcMar>
            <w:vAlign w:val="center"/>
          </w:tcPr>
          <w:p w14:paraId="33ED55BD">
            <w:pPr>
              <w:bidi w:val="0"/>
              <w:rPr>
                <w:rFonts w:hint="default"/>
              </w:rPr>
            </w:pPr>
            <w:r>
              <w:rPr>
                <w:rFonts w:hint="default"/>
                <w:lang w:val="en-US" w:eastAsia="zh-CN"/>
                <w:sz w:val="18"/>
                <w:szCs w:val="18"/>
              </w:rPr>
              <w:t xml:space="preserve">Working liquid level</w:t>
            </w:r>
          </w:p>
        </w:tc>
        <w:tc>
          <w:tcPr>
            <w:tcW w:w="6060" w:type="dxa"/>
            <w:shd w:val="clear"/>
            <w:tcMar>
              <w:top w:w="150" w:type="dxa"/>
              <w:left w:w="240" w:type="dxa"/>
              <w:bottom w:w="150" w:type="dxa"/>
              <w:right w:w="0" w:type="dxa"/>
            </w:tcMar>
            <w:vAlign w:val="center"/>
          </w:tcPr>
          <w:p w14:paraId="10CFD58C">
            <w:pPr>
              <w:bidi w:val="0"/>
              <w:rPr>
                <w:rFonts w:hint="default"/>
              </w:rPr>
            </w:pPr>
            <w:r>
              <w:rPr>
                <w:rFonts w:hint="default"/>
                <w:lang w:val="en-US" w:eastAsia="zh-CN"/>
                <w:sz w:val="18"/>
                <w:szCs w:val="18"/>
              </w:rPr>
              <w:t xml:space="preserve">The 20 mL level is about 50 mm from the cone apex and must fully cover the optical windows</w:t>
            </w:r>
          </w:p>
        </w:tc>
      </w:tr>
      <w:tr w14:paraId="1AF02EFC">
        <w:trPr>
          <w:cantSplit/>
        </w:trPr>
        <w:tc>
          <w:tcPr>
            <w:tcW w:w="2960" w:type="dxa"/>
            <w:shd w:val="clear"/>
            <w:tcMar>
              <w:top w:w="150" w:type="dxa"/>
              <w:left w:w="0" w:type="dxa"/>
              <w:bottom w:w="150" w:type="dxa"/>
              <w:right w:w="240" w:type="dxa"/>
            </w:tcMar>
            <w:vAlign w:val="center"/>
          </w:tcPr>
          <w:p w14:paraId="45099487">
            <w:pPr>
              <w:bidi w:val="0"/>
              <w:rPr>
                <w:rFonts w:hint="default"/>
              </w:rPr>
            </w:pPr>
            <w:r>
              <w:rPr>
                <w:rFonts w:hint="default"/>
                <w:lang w:val="en-US" w:eastAsia="zh-CN"/>
                <w:sz w:val="18"/>
                <w:szCs w:val="18"/>
              </w:rPr>
              <w:t xml:space="preserve">Optical windows</w:t>
            </w:r>
          </w:p>
        </w:tc>
        <w:tc>
          <w:tcPr>
            <w:tcW w:w="6060" w:type="dxa"/>
            <w:shd w:val="clear"/>
            <w:tcMar>
              <w:top w:w="150" w:type="dxa"/>
              <w:left w:w="240" w:type="dxa"/>
              <w:bottom w:w="150" w:type="dxa"/>
              <w:right w:w="0" w:type="dxa"/>
            </w:tcMar>
            <w:vAlign w:val="center"/>
          </w:tcPr>
          <w:p w14:paraId="57F173F9">
            <w:pPr>
              <w:bidi w:val="0"/>
              <w:rPr>
                <w:rFonts w:hint="default"/>
              </w:rPr>
            </w:pPr>
            <w:r>
              <w:rPr>
                <w:rFonts w:hint="default"/>
                <w:lang w:val="en-US" w:eastAsia="zh-CN"/>
                <w:sz w:val="18"/>
                <w:szCs w:val="18"/>
              </w:rPr>
              <w:t xml:space="preserve">Two, at 90° to each other, Ø10 mm circular flat faces, centres 40 mm from the cone apex, each face inclined 12° to the horizontal (normal to the cone surface)</w:t>
            </w:r>
          </w:p>
        </w:tc>
      </w:tr>
      <w:tr w14:paraId="6A05368B">
        <w:trPr>
          <w:cantSplit/>
        </w:trPr>
        <w:tc>
          <w:tcPr>
            <w:tcW w:w="2960" w:type="dxa"/>
            <w:shd w:val="clear"/>
            <w:tcMar>
              <w:top w:w="150" w:type="dxa"/>
              <w:left w:w="0" w:type="dxa"/>
              <w:bottom w:w="150" w:type="dxa"/>
              <w:right w:w="240" w:type="dxa"/>
            </w:tcMar>
            <w:vAlign w:val="center"/>
          </w:tcPr>
          <w:p w14:paraId="06AC669E">
            <w:pPr>
              <w:bidi w:val="0"/>
              <w:rPr>
                <w:rFonts w:hint="default"/>
              </w:rPr>
            </w:pPr>
            <w:r>
              <w:rPr>
                <w:rFonts w:hint="default"/>
                <w:lang w:val="en-US" w:eastAsia="zh-CN"/>
                <w:sz w:val="18"/>
                <w:szCs w:val="18"/>
              </w:rPr>
              <w:t xml:space="preserve">Window wall thickness</w:t>
            </w:r>
          </w:p>
        </w:tc>
        <w:tc>
          <w:tcPr>
            <w:tcW w:w="6060" w:type="dxa"/>
            <w:shd w:val="clear"/>
            <w:tcMar>
              <w:top w:w="150" w:type="dxa"/>
              <w:left w:w="240" w:type="dxa"/>
              <w:bottom w:w="150" w:type="dxa"/>
              <w:right w:w="0" w:type="dxa"/>
            </w:tcMar>
            <w:vAlign w:val="center"/>
          </w:tcPr>
          <w:p w14:paraId="445953E4">
            <w:pPr>
              <w:bidi w:val="0"/>
              <w:rPr>
                <w:rFonts w:hint="default"/>
              </w:rPr>
            </w:pPr>
            <w:r>
              <w:rPr>
                <w:rFonts w:hint="default"/>
                <w:lang w:val="en-US" w:eastAsia="zh-CN"/>
                <w:sz w:val="18"/>
                <w:szCs w:val="18"/>
              </w:rPr>
              <w:t xml:space="preserve">2 mm; inner and outer faces are parallel planes, parallelism ≤ 0.02 mm</w:t>
            </w:r>
          </w:p>
        </w:tc>
      </w:tr>
      <w:tr w14:paraId="74354918">
        <w:trPr>
          <w:cantSplit/>
        </w:trPr>
        <w:tc>
          <w:tcPr>
            <w:tcW w:w="2960" w:type="dxa"/>
            <w:shd w:val="clear"/>
            <w:tcMar>
              <w:top w:w="150" w:type="dxa"/>
              <w:left w:w="0" w:type="dxa"/>
              <w:bottom w:w="150" w:type="dxa"/>
              <w:right w:w="240" w:type="dxa"/>
            </w:tcMar>
            <w:vAlign w:val="center"/>
          </w:tcPr>
          <w:p w14:paraId="55848C03">
            <w:pPr>
              <w:bidi w:val="0"/>
              <w:rPr>
                <w:rFonts w:hint="default"/>
              </w:rPr>
            </w:pPr>
            <w:r>
              <w:rPr>
                <w:rFonts w:hint="default"/>
                <w:lang w:val="en-US" w:eastAsia="zh-CN"/>
                <w:sz w:val="18"/>
                <w:szCs w:val="18"/>
              </w:rPr>
              <w:t xml:space="preserve">Window surface</w:t>
            </w:r>
          </w:p>
        </w:tc>
        <w:tc>
          <w:tcPr>
            <w:tcW w:w="6060" w:type="dxa"/>
            <w:shd w:val="clear"/>
            <w:tcMar>
              <w:top w:w="150" w:type="dxa"/>
              <w:left w:w="240" w:type="dxa"/>
              <w:bottom w:w="150" w:type="dxa"/>
              <w:right w:w="0" w:type="dxa"/>
            </w:tcMar>
            <w:vAlign w:val="center"/>
          </w:tcPr>
          <w:p w14:paraId="6BBAEFB3">
            <w:pPr>
              <w:bidi w:val="0"/>
              <w:rPr>
                <w:rFonts w:hint="default"/>
              </w:rPr>
            </w:pPr>
            <w:r>
              <w:rPr>
                <w:rFonts w:hint="default"/>
                <w:lang w:val="en-US" w:eastAsia="zh-CN"/>
                <w:sz w:val="18"/>
                <w:szCs w:val="18"/>
              </w:rPr>
              <w:t xml:space="preserve">Ra ≤ 0.05 μm, flatness ≤ λ/4 at 528 nm, edge chamfer C0.3</w:t>
            </w:r>
          </w:p>
        </w:tc>
      </w:tr>
      <w:tr w14:paraId="332531F6">
        <w:trPr>
          <w:cantSplit/>
        </w:trPr>
        <w:tc>
          <w:tcPr>
            <w:tcW w:w="2960" w:type="dxa"/>
            <w:shd w:val="clear"/>
            <w:tcMar>
              <w:top w:w="150" w:type="dxa"/>
              <w:left w:w="0" w:type="dxa"/>
              <w:bottom w:w="150" w:type="dxa"/>
              <w:right w:w="240" w:type="dxa"/>
            </w:tcMar>
            <w:vAlign w:val="center"/>
          </w:tcPr>
          <w:p w14:paraId="0A92FCE2">
            <w:pPr>
              <w:bidi w:val="0"/>
              <w:rPr>
                <w:rFonts w:hint="default"/>
              </w:rPr>
            </w:pPr>
            <w:r>
              <w:rPr>
                <w:rFonts w:hint="default"/>
                <w:lang w:val="en-US" w:eastAsia="zh-CN"/>
                <w:sz w:val="18"/>
                <w:szCs w:val="18"/>
              </w:rPr>
              <w:t xml:space="preserve">Window position</w:t>
            </w:r>
          </w:p>
        </w:tc>
        <w:tc>
          <w:tcPr>
            <w:tcW w:w="6060" w:type="dxa"/>
            <w:shd w:val="clear"/>
            <w:tcMar>
              <w:top w:w="150" w:type="dxa"/>
              <w:left w:w="240" w:type="dxa"/>
              <w:bottom w:w="150" w:type="dxa"/>
              <w:right w:w="0" w:type="dxa"/>
            </w:tcMar>
            <w:vAlign w:val="center"/>
          </w:tcPr>
          <w:p w14:paraId="576E71CE">
            <w:pPr>
              <w:bidi w:val="0"/>
              <w:rPr>
                <w:rFonts w:hint="default"/>
              </w:rPr>
            </w:pPr>
            <w:r>
              <w:rPr>
                <w:rFonts w:hint="default"/>
                <w:lang w:val="en-US" w:eastAsia="zh-CN"/>
                <w:sz w:val="18"/>
                <w:szCs w:val="18"/>
              </w:rPr>
              <w:t xml:space="preserve">Must be fully immersed below the 20 mL working liquid level</w:t>
            </w:r>
          </w:p>
        </w:tc>
      </w:tr>
      <w:tr w14:paraId="67905DE9">
        <w:trPr>
          <w:cantSplit/>
        </w:trPr>
        <w:tc>
          <w:tcPr>
            <w:tcW w:w="2960" w:type="dxa"/>
            <w:shd w:val="clear"/>
            <w:tcMar>
              <w:top w:w="150" w:type="dxa"/>
              <w:left w:w="0" w:type="dxa"/>
              <w:bottom w:w="150" w:type="dxa"/>
              <w:right w:w="240" w:type="dxa"/>
            </w:tcMar>
            <w:vAlign w:val="center"/>
          </w:tcPr>
          <w:p w14:paraId="1CC441C2">
            <w:pPr>
              <w:bidi w:val="0"/>
              <w:rPr>
                <w:rFonts w:hint="default"/>
              </w:rPr>
            </w:pPr>
            <w:r>
              <w:rPr>
                <w:rFonts w:hint="default"/>
                <w:lang w:val="en-US" w:eastAsia="zh-CN"/>
                <w:sz w:val="18"/>
                <w:szCs w:val="18"/>
              </w:rPr>
              <w:t xml:space="preserve">Sealing</w:t>
            </w:r>
          </w:p>
        </w:tc>
        <w:tc>
          <w:tcPr>
            <w:tcW w:w="6060" w:type="dxa"/>
            <w:shd w:val="clear"/>
            <w:tcMar>
              <w:top w:w="150" w:type="dxa"/>
              <w:left w:w="240" w:type="dxa"/>
              <w:bottom w:w="150" w:type="dxa"/>
              <w:right w:w="0" w:type="dxa"/>
            </w:tcMar>
            <w:vAlign w:val="center"/>
          </w:tcPr>
          <w:p w14:paraId="7B512EAB">
            <w:pPr>
              <w:bidi w:val="0"/>
              <w:rPr>
                <w:rFonts w:hint="default"/>
              </w:rPr>
            </w:pPr>
            <w:r>
              <w:rPr>
                <w:rFonts w:hint="default"/>
                <w:lang w:val="en-US" w:eastAsia="zh-CN"/>
                <w:sz w:val="18"/>
                <w:szCs w:val="18"/>
              </w:rPr>
              <w:t xml:space="preserve">Once connected to the cyclone sampler, pressurised to 0.05 MPa and held for 30 s with no bubble leakage</w:t>
            </w:r>
          </w:p>
        </w:tc>
      </w:tr>
      <w:tr w14:paraId="135342CB">
        <w:trPr>
          <w:cantSplit/>
        </w:trPr>
        <w:tc>
          <w:tcPr>
            <w:tcW w:w="2960" w:type="dxa"/>
            <w:shd w:val="clear"/>
            <w:tcMar>
              <w:top w:w="150" w:type="dxa"/>
              <w:left w:w="0" w:type="dxa"/>
              <w:bottom w:w="150" w:type="dxa"/>
              <w:right w:w="240" w:type="dxa"/>
            </w:tcMar>
            <w:vAlign w:val="center"/>
          </w:tcPr>
          <w:p w14:paraId="026C5419">
            <w:pPr>
              <w:bidi w:val="0"/>
              <w:rPr>
                <w:rFonts w:hint="default"/>
              </w:rPr>
            </w:pPr>
            <w:r>
              <w:rPr>
                <w:rFonts w:hint="default"/>
                <w:lang w:val="en-US" w:eastAsia="zh-CN"/>
                <w:sz w:val="18"/>
                <w:szCs w:val="18"/>
              </w:rPr>
              <w:t xml:space="preserve">Cleanliness</w:t>
            </w:r>
          </w:p>
        </w:tc>
        <w:tc>
          <w:tcPr>
            <w:tcW w:w="6060" w:type="dxa"/>
            <w:shd w:val="clear"/>
            <w:tcMar>
              <w:top w:w="150" w:type="dxa"/>
              <w:left w:w="240" w:type="dxa"/>
              <w:bottom w:w="150" w:type="dxa"/>
              <w:right w:w="0" w:type="dxa"/>
            </w:tcMar>
            <w:vAlign w:val="center"/>
          </w:tcPr>
          <w:p w14:paraId="749AEFD2">
            <w:pPr>
              <w:bidi w:val="0"/>
              <w:rPr>
                <w:rFonts w:hint="default"/>
              </w:rPr>
            </w:pPr>
            <w:r>
              <w:rPr>
                <w:rFonts w:hint="default"/>
                <w:lang w:val="en-US" w:eastAsia="zh-CN"/>
                <w:sz w:val="18"/>
                <w:szCs w:val="18"/>
              </w:rPr>
              <w:t xml:space="preserve">Free of oil, particles and mould-release residue before dispatch; optical faces covered with protective film</w:t>
            </w:r>
          </w:p>
        </w:tc>
      </w:tr>
      <w:tr w14:paraId="6B6D8A55">
        <w:trPr>
          <w:cantSplit/>
        </w:trPr>
        <w:tc>
          <w:tcPr>
            <w:tcW w:w="2960" w:type="dxa"/>
            <w:shd w:val="clear"/>
            <w:tcMar>
              <w:top w:w="150" w:type="dxa"/>
              <w:left w:w="0" w:type="dxa"/>
              <w:bottom w:w="150" w:type="dxa"/>
              <w:right w:w="240" w:type="dxa"/>
            </w:tcMar>
            <w:vAlign w:val="center"/>
          </w:tcPr>
          <w:p w14:paraId="1864E0BB">
            <w:pPr>
              <w:bidi w:val="0"/>
              <w:rPr>
                <w:rFonts w:hint="default"/>
              </w:rPr>
            </w:pPr>
            <w:r>
              <w:rPr>
                <w:rFonts w:hint="default"/>
                <w:lang w:val="en-US" w:eastAsia="zh-CN"/>
                <w:sz w:val="18"/>
                <w:szCs w:val="18"/>
              </w:rPr>
              <w:t xml:space="preserve">Sterilisation</w:t>
            </w:r>
          </w:p>
        </w:tc>
        <w:tc>
          <w:tcPr>
            <w:tcW w:w="6060" w:type="dxa"/>
            <w:shd w:val="clear"/>
            <w:tcMar>
              <w:top w:w="150" w:type="dxa"/>
              <w:left w:w="240" w:type="dxa"/>
              <w:bottom w:w="150" w:type="dxa"/>
              <w:right w:w="0" w:type="dxa"/>
            </w:tcMar>
            <w:vAlign w:val="center"/>
          </w:tcPr>
          <w:p w14:paraId="3E61587D">
            <w:pPr>
              <w:bidi w:val="0"/>
              <w:rPr>
                <w:rFonts w:hint="default"/>
              </w:rPr>
            </w:pPr>
            <w:r>
              <w:rPr>
                <w:rFonts w:hint="default"/>
                <w:lang w:val="en-US" w:eastAsia="zh-CN"/>
                <w:sz w:val="18"/>
                <w:szCs w:val="18"/>
              </w:rPr>
              <w:t xml:space="preserve">Withstands ethylene oxide or gamma sterilisation; if autoclaving is required, freedom from deformation must be verified in advance</w:t>
            </w:r>
          </w:p>
        </w:tc>
      </w:tr>
    </w:tbl>
    <w:p w14:paraId="39858ECD">
      <w:pPr>
        <w:pStyle w:val="4"/>
        <w:bidi w:val="0"/>
        <w:jc w:val="left"/>
        <w:rPr>
          <w:rFonts w:hint="default"/>
        </w:rPr>
      </w:pPr>
      <w:r>
        <w:rPr>
          <w:rFonts w:hint="default"/>
        </w:rPr>
        <w:t xml:space="preserve">4.3　Temperature control module</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1C7E491D">
        <w:trPr>
          <w:tblHeader/>
          <w:cantSplit/>
        </w:trPr>
        <w:tc>
          <w:tcPr>
            <w:tcW w:w="2960" w:type="dxa"/>
            <w:shd w:val="clear"/>
            <w:tcMar>
              <w:top w:w="150" w:type="dxa"/>
              <w:left w:w="0" w:type="dxa"/>
              <w:bottom w:w="150" w:type="dxa"/>
              <w:right w:w="240" w:type="dxa"/>
            </w:tcMar>
            <w:vAlign w:val="center"/>
          </w:tcPr>
          <w:p w14:paraId="2F4F104B">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2FDAD316">
            <w:pPr>
              <w:bidi w:val="0"/>
              <w:rPr>
                <w:rFonts w:hint="default"/>
              </w:rPr>
            </w:pPr>
            <w:r>
              <w:rPr>
                <w:rFonts w:hint="default"/>
                <w:lang w:val="en-US" w:eastAsia="zh-CN"/>
                <w:sz w:val="18"/>
                <w:szCs w:val="18"/>
              </w:rPr>
              <w:t xml:space="preserve">Requirement</w:t>
            </w:r>
          </w:p>
        </w:tc>
      </w:tr>
      <w:tr w14:paraId="0CFAABC8">
        <w:trPr>
          <w:cantSplit/>
        </w:trPr>
        <w:tc>
          <w:tcPr>
            <w:tcW w:w="2960" w:type="dxa"/>
            <w:shd w:val="clear"/>
            <w:tcMar>
              <w:top w:w="150" w:type="dxa"/>
              <w:left w:w="0" w:type="dxa"/>
              <w:bottom w:w="150" w:type="dxa"/>
              <w:right w:w="240" w:type="dxa"/>
            </w:tcMar>
            <w:vAlign w:val="center"/>
          </w:tcPr>
          <w:p w14:paraId="45D38AFE">
            <w:pPr>
              <w:bidi w:val="0"/>
              <w:rPr>
                <w:rFonts w:hint="default"/>
              </w:rPr>
            </w:pPr>
            <w:r>
              <w:rPr>
                <w:rFonts w:hint="default"/>
                <w:lang w:val="en-US" w:eastAsia="zh-CN"/>
                <w:sz w:val="18"/>
                <w:szCs w:val="18"/>
              </w:rPr>
              <w:t xml:space="preserve">Heating method</w:t>
            </w:r>
          </w:p>
        </w:tc>
        <w:tc>
          <w:tcPr>
            <w:tcW w:w="6060" w:type="dxa"/>
            <w:shd w:val="clear"/>
            <w:tcMar>
              <w:top w:w="150" w:type="dxa"/>
              <w:left w:w="240" w:type="dxa"/>
              <w:bottom w:w="150" w:type="dxa"/>
              <w:right w:w="0" w:type="dxa"/>
            </w:tcMar>
            <w:vAlign w:val="center"/>
          </w:tcPr>
          <w:p w14:paraId="5ED582B8">
            <w:pPr>
              <w:bidi w:val="0"/>
              <w:rPr>
                <w:rFonts w:hint="default"/>
              </w:rPr>
            </w:pPr>
            <w:r>
              <w:rPr>
                <w:rFonts w:hint="default"/>
                <w:lang w:val="en-US" w:eastAsia="zh-CN"/>
                <w:sz w:val="18"/>
                <w:szCs w:val="18"/>
              </w:rPr>
              <w:t xml:space="preserve">PI heating film, 100 × 100 mm, 24 V / 50–100 W, bonded to the underside of the aluminium block</w:t>
            </w:r>
          </w:p>
        </w:tc>
      </w:tr>
      <w:tr w14:paraId="74A2B32A">
        <w:trPr>
          <w:cantSplit/>
        </w:trPr>
        <w:tc>
          <w:tcPr>
            <w:tcW w:w="2960" w:type="dxa"/>
            <w:shd w:val="clear"/>
            <w:tcMar>
              <w:top w:w="150" w:type="dxa"/>
              <w:left w:w="0" w:type="dxa"/>
              <w:bottom w:w="150" w:type="dxa"/>
              <w:right w:w="240" w:type="dxa"/>
            </w:tcMar>
            <w:vAlign w:val="center"/>
          </w:tcPr>
          <w:p w14:paraId="7B52B095">
            <w:pPr>
              <w:bidi w:val="0"/>
              <w:rPr>
                <w:rFonts w:hint="default"/>
              </w:rPr>
            </w:pPr>
            <w:r>
              <w:rPr>
                <w:rFonts w:hint="default"/>
                <w:lang w:val="en-US" w:eastAsia="zh-CN"/>
                <w:sz w:val="18"/>
                <w:szCs w:val="18"/>
              </w:rPr>
              <w:t xml:space="preserve">Heater block</w:t>
            </w:r>
          </w:p>
        </w:tc>
        <w:tc>
          <w:tcPr>
            <w:tcW w:w="6060" w:type="dxa"/>
            <w:shd w:val="clear"/>
            <w:tcMar>
              <w:top w:w="150" w:type="dxa"/>
              <w:left w:w="240" w:type="dxa"/>
              <w:bottom w:w="150" w:type="dxa"/>
              <w:right w:w="0" w:type="dxa"/>
            </w:tcMar>
            <w:vAlign w:val="center"/>
          </w:tcPr>
          <w:p w14:paraId="4F9EC2AA">
            <w:pPr>
              <w:bidi w:val="0"/>
              <w:rPr>
                <w:rFonts w:hint="default"/>
              </w:rPr>
            </w:pPr>
            <w:r>
              <w:rPr>
                <w:rFonts w:hint="default"/>
                <w:lang w:val="en-US" w:eastAsia="zh-CN"/>
                <w:sz w:val="18"/>
                <w:szCs w:val="18"/>
              </w:rPr>
              <w:t xml:space="preserve">High-purity aluminium 6061 or 7075, CNC machined, bore Ø22–25 mm, depth 30 mm, 4–9 bores</w:t>
            </w:r>
          </w:p>
        </w:tc>
      </w:tr>
      <w:tr w14:paraId="2C1A788F">
        <w:trPr>
          <w:cantSplit/>
        </w:trPr>
        <w:tc>
          <w:tcPr>
            <w:tcW w:w="2960" w:type="dxa"/>
            <w:shd w:val="clear"/>
            <w:tcMar>
              <w:top w:w="150" w:type="dxa"/>
              <w:left w:w="0" w:type="dxa"/>
              <w:bottom w:w="150" w:type="dxa"/>
              <w:right w:w="240" w:type="dxa"/>
            </w:tcMar>
            <w:vAlign w:val="center"/>
          </w:tcPr>
          <w:p w14:paraId="05F32C02">
            <w:pPr>
              <w:bidi w:val="0"/>
              <w:rPr>
                <w:rFonts w:hint="default"/>
              </w:rPr>
            </w:pPr>
            <w:r>
              <w:rPr>
                <w:rFonts w:hint="default"/>
                <w:lang w:val="en-US" w:eastAsia="zh-CN"/>
                <w:sz w:val="18"/>
                <w:szCs w:val="18"/>
              </w:rPr>
              <w:t xml:space="preserve">Temperature sensor</w:t>
            </w:r>
          </w:p>
        </w:tc>
        <w:tc>
          <w:tcPr>
            <w:tcW w:w="6060" w:type="dxa"/>
            <w:shd w:val="clear"/>
            <w:tcMar>
              <w:top w:w="150" w:type="dxa"/>
              <w:left w:w="240" w:type="dxa"/>
              <w:bottom w:w="150" w:type="dxa"/>
              <w:right w:w="0" w:type="dxa"/>
            </w:tcMar>
            <w:vAlign w:val="center"/>
          </w:tcPr>
          <w:p w14:paraId="4A34C1D9">
            <w:pPr>
              <w:bidi w:val="0"/>
              <w:rPr>
                <w:rFonts w:hint="default"/>
              </w:rPr>
            </w:pPr>
            <w:r>
              <w:rPr>
                <w:rFonts w:hint="default"/>
                <w:lang w:val="en-US" w:eastAsia="zh-CN"/>
                <w:sz w:val="18"/>
                <w:szCs w:val="18"/>
              </w:rPr>
              <w:t xml:space="preserve">PT100 platinum RTD, class A, 3-wire, embedded in a central blind bore in the aluminium block and filled with thermal grease</w:t>
            </w:r>
          </w:p>
        </w:tc>
      </w:tr>
      <w:tr w14:paraId="0F640B72">
        <w:trPr>
          <w:cantSplit/>
        </w:trPr>
        <w:tc>
          <w:tcPr>
            <w:tcW w:w="2960" w:type="dxa"/>
            <w:shd w:val="clear"/>
            <w:tcMar>
              <w:top w:w="150" w:type="dxa"/>
              <w:left w:w="0" w:type="dxa"/>
              <w:bottom w:w="150" w:type="dxa"/>
              <w:right w:w="240" w:type="dxa"/>
            </w:tcMar>
            <w:vAlign w:val="center"/>
          </w:tcPr>
          <w:p w14:paraId="4679A2BD">
            <w:pPr>
              <w:bidi w:val="0"/>
              <w:rPr>
                <w:rFonts w:hint="default"/>
              </w:rPr>
            </w:pPr>
            <w:r>
              <w:rPr>
                <w:rFonts w:hint="default"/>
                <w:lang w:val="en-US" w:eastAsia="zh-CN"/>
                <w:sz w:val="18"/>
                <w:szCs w:val="18"/>
              </w:rPr>
              <w:t xml:space="preserve">Temperature transmitter</w:t>
            </w:r>
          </w:p>
        </w:tc>
        <w:tc>
          <w:tcPr>
            <w:tcW w:w="6060" w:type="dxa"/>
            <w:shd w:val="clear"/>
            <w:tcMar>
              <w:top w:w="150" w:type="dxa"/>
              <w:left w:w="240" w:type="dxa"/>
              <w:bottom w:w="150" w:type="dxa"/>
              <w:right w:w="0" w:type="dxa"/>
            </w:tcMar>
            <w:vAlign w:val="center"/>
          </w:tcPr>
          <w:p w14:paraId="6D483AC1">
            <w:pPr>
              <w:bidi w:val="0"/>
              <w:rPr>
                <w:rFonts w:hint="default"/>
              </w:rPr>
            </w:pPr>
            <w:r>
              <w:rPr>
                <w:rFonts w:hint="default"/>
                <w:lang w:val="en-US" w:eastAsia="zh-CN"/>
                <w:sz w:val="18"/>
                <w:szCs w:val="18"/>
              </w:rPr>
              <w:t xml:space="preserve">MAX31865 module, SPI interface, 16-bit ADC</w:t>
            </w:r>
          </w:p>
        </w:tc>
      </w:tr>
      <w:tr w14:paraId="2DCA7C8F">
        <w:trPr>
          <w:cantSplit/>
        </w:trPr>
        <w:tc>
          <w:tcPr>
            <w:tcW w:w="2960" w:type="dxa"/>
            <w:shd w:val="clear"/>
            <w:tcMar>
              <w:top w:w="150" w:type="dxa"/>
              <w:left w:w="0" w:type="dxa"/>
              <w:bottom w:w="150" w:type="dxa"/>
              <w:right w:w="240" w:type="dxa"/>
            </w:tcMar>
            <w:vAlign w:val="center"/>
          </w:tcPr>
          <w:p w14:paraId="1B4688DD">
            <w:pPr>
              <w:bidi w:val="0"/>
              <w:rPr>
                <w:rFonts w:hint="default"/>
              </w:rPr>
            </w:pPr>
            <w:r>
              <w:rPr>
                <w:rFonts w:hint="default"/>
                <w:lang w:val="en-US" w:eastAsia="zh-CN"/>
                <w:sz w:val="18"/>
                <w:szCs w:val="18"/>
              </w:rPr>
              <w:t xml:space="preserve">Control range</w:t>
            </w:r>
          </w:p>
        </w:tc>
        <w:tc>
          <w:tcPr>
            <w:tcW w:w="6060" w:type="dxa"/>
            <w:shd w:val="clear"/>
            <w:tcMar>
              <w:top w:w="150" w:type="dxa"/>
              <w:left w:w="240" w:type="dxa"/>
              <w:bottom w:w="150" w:type="dxa"/>
              <w:right w:w="0" w:type="dxa"/>
            </w:tcMar>
            <w:vAlign w:val="center"/>
          </w:tcPr>
          <w:p w14:paraId="7D2EBFDC">
            <w:pPr>
              <w:bidi w:val="0"/>
              <w:rPr>
                <w:rFonts w:hint="default"/>
              </w:rPr>
            </w:pPr>
            <w:r>
              <w:rPr>
                <w:rFonts w:hint="default"/>
                <w:lang w:val="en-US" w:eastAsia="zh-CN"/>
                <w:sz w:val="18"/>
                <w:szCs w:val="18"/>
              </w:rPr>
              <w:t xml:space="preserve">Room temperature to 40 °C, set point 30 °C</w:t>
            </w:r>
          </w:p>
        </w:tc>
      </w:tr>
      <w:tr w14:paraId="4349DEF8">
        <w:trPr>
          <w:cantSplit/>
        </w:trPr>
        <w:tc>
          <w:tcPr>
            <w:tcW w:w="2960" w:type="dxa"/>
            <w:shd w:val="clear"/>
            <w:tcMar>
              <w:top w:w="150" w:type="dxa"/>
              <w:left w:w="0" w:type="dxa"/>
              <w:bottom w:w="150" w:type="dxa"/>
              <w:right w:w="240" w:type="dxa"/>
            </w:tcMar>
            <w:vAlign w:val="center"/>
          </w:tcPr>
          <w:p w14:paraId="43040399">
            <w:pPr>
              <w:bidi w:val="0"/>
              <w:rPr>
                <w:rFonts w:hint="default"/>
              </w:rPr>
            </w:pPr>
            <w:r>
              <w:rPr>
                <w:rFonts w:hint="default"/>
                <w:lang w:val="en-US" w:eastAsia="zh-CN"/>
                <w:sz w:val="18"/>
                <w:szCs w:val="18"/>
              </w:rPr>
              <w:t xml:space="preserve">Temperature accuracy</w:t>
            </w:r>
          </w:p>
        </w:tc>
        <w:tc>
          <w:tcPr>
            <w:tcW w:w="6060" w:type="dxa"/>
            <w:shd w:val="clear"/>
            <w:tcMar>
              <w:top w:w="150" w:type="dxa"/>
              <w:left w:w="240" w:type="dxa"/>
              <w:bottom w:w="150" w:type="dxa"/>
              <w:right w:w="0" w:type="dxa"/>
            </w:tcMar>
            <w:vAlign w:val="center"/>
          </w:tcPr>
          <w:p w14:paraId="6E17D183">
            <w:pPr>
              <w:bidi w:val="0"/>
              <w:rPr>
                <w:rFonts w:hint="default"/>
              </w:rPr>
            </w:pPr>
            <w:r>
              <w:rPr>
                <w:rFonts w:hint="default"/>
                <w:lang w:val="en-US" w:eastAsia="zh-CN"/>
                <w:sz w:val="18"/>
                <w:szCs w:val="18"/>
              </w:rPr>
              <w:t xml:space="preserve">±0.5 °C</w:t>
            </w:r>
          </w:p>
        </w:tc>
      </w:tr>
      <w:tr w14:paraId="4E4F2A03">
        <w:trPr>
          <w:cantSplit/>
        </w:trPr>
        <w:tc>
          <w:tcPr>
            <w:tcW w:w="2960" w:type="dxa"/>
            <w:shd w:val="clear"/>
            <w:tcMar>
              <w:top w:w="150" w:type="dxa"/>
              <w:left w:w="0" w:type="dxa"/>
              <w:bottom w:w="150" w:type="dxa"/>
              <w:right w:w="240" w:type="dxa"/>
            </w:tcMar>
            <w:vAlign w:val="center"/>
          </w:tcPr>
          <w:p w14:paraId="0C6C236E">
            <w:pPr>
              <w:bidi w:val="0"/>
              <w:rPr>
                <w:rFonts w:hint="default"/>
              </w:rPr>
            </w:pPr>
            <w:r>
              <w:rPr>
                <w:rFonts w:hint="default"/>
                <w:lang w:val="en-US" w:eastAsia="zh-CN"/>
                <w:sz w:val="18"/>
                <w:szCs w:val="18"/>
              </w:rPr>
              <w:t xml:space="preserve">Over-temperature protection</w:t>
            </w:r>
          </w:p>
        </w:tc>
        <w:tc>
          <w:tcPr>
            <w:tcW w:w="6060" w:type="dxa"/>
            <w:shd w:val="clear"/>
            <w:tcMar>
              <w:top w:w="150" w:type="dxa"/>
              <w:left w:w="240" w:type="dxa"/>
              <w:bottom w:w="150" w:type="dxa"/>
              <w:right w:w="0" w:type="dxa"/>
            </w:tcMar>
            <w:vAlign w:val="center"/>
          </w:tcPr>
          <w:p w14:paraId="3CD68D36">
            <w:pPr>
              <w:bidi w:val="0"/>
              <w:rPr>
                <w:rFonts w:hint="default"/>
              </w:rPr>
            </w:pPr>
            <w:r>
              <w:rPr>
                <w:rFonts w:hint="default"/>
                <w:lang w:val="en-US" w:eastAsia="zh-CN"/>
                <w:sz w:val="18"/>
                <w:szCs w:val="18"/>
              </w:rPr>
              <w:t xml:space="preserve">KSD9700 thermal cut-off, normally open, trip temperature 60 °C, 250 V / 10 A, cuts the heater at hardware level</w:t>
            </w:r>
          </w:p>
        </w:tc>
      </w:tr>
      <w:tr w14:paraId="7CAEE9D5">
        <w:trPr>
          <w:cantSplit/>
        </w:trPr>
        <w:tc>
          <w:tcPr>
            <w:tcW w:w="2960" w:type="dxa"/>
            <w:shd w:val="clear"/>
            <w:tcMar>
              <w:top w:w="150" w:type="dxa"/>
              <w:left w:w="0" w:type="dxa"/>
              <w:bottom w:w="150" w:type="dxa"/>
              <w:right w:w="240" w:type="dxa"/>
            </w:tcMar>
            <w:vAlign w:val="center"/>
          </w:tcPr>
          <w:p w14:paraId="3F079887">
            <w:pPr>
              <w:bidi w:val="0"/>
              <w:rPr>
                <w:rFonts w:hint="default"/>
              </w:rPr>
            </w:pPr>
            <w:r>
              <w:rPr>
                <w:rFonts w:hint="default"/>
                <w:lang w:val="en-US" w:eastAsia="zh-CN"/>
                <w:sz w:val="18"/>
                <w:szCs w:val="18"/>
              </w:rPr>
              <w:t xml:space="preserve">Power drive</w:t>
            </w:r>
          </w:p>
        </w:tc>
        <w:tc>
          <w:tcPr>
            <w:tcW w:w="6060" w:type="dxa"/>
            <w:shd w:val="clear"/>
            <w:tcMar>
              <w:top w:w="150" w:type="dxa"/>
              <w:left w:w="240" w:type="dxa"/>
              <w:bottom w:w="150" w:type="dxa"/>
              <w:right w:w="0" w:type="dxa"/>
            </w:tcMar>
            <w:vAlign w:val="center"/>
          </w:tcPr>
          <w:p w14:paraId="7CC23CA8">
            <w:pPr>
              <w:bidi w:val="0"/>
              <w:rPr>
                <w:rFonts w:hint="default"/>
              </w:rPr>
            </w:pPr>
            <w:r>
              <w:rPr>
                <w:rFonts w:hint="default"/>
                <w:lang w:val="en-US" w:eastAsia="zh-CN"/>
                <w:sz w:val="18"/>
                <w:szCs w:val="18"/>
              </w:rPr>
              <w:t xml:space="preserve">IRF520 or AO3400 MOSFET, PWM power control under PID</w:t>
            </w:r>
          </w:p>
        </w:tc>
      </w:tr>
      <w:tr w14:paraId="18939494">
        <w:trPr>
          <w:cantSplit/>
        </w:trPr>
        <w:tc>
          <w:tcPr>
            <w:tcW w:w="2960" w:type="dxa"/>
            <w:shd w:val="clear"/>
            <w:tcMar>
              <w:top w:w="150" w:type="dxa"/>
              <w:left w:w="0" w:type="dxa"/>
              <w:bottom w:w="150" w:type="dxa"/>
              <w:right w:w="240" w:type="dxa"/>
            </w:tcMar>
            <w:vAlign w:val="center"/>
          </w:tcPr>
          <w:p w14:paraId="07C95D8E">
            <w:pPr>
              <w:bidi w:val="0"/>
              <w:rPr>
                <w:rFonts w:hint="default"/>
              </w:rPr>
            </w:pPr>
            <w:r>
              <w:rPr>
                <w:rFonts w:hint="default"/>
                <w:lang w:val="en-US" w:eastAsia="zh-CN"/>
                <w:sz w:val="18"/>
                <w:szCs w:val="18"/>
              </w:rPr>
              <w:t xml:space="preserve">Heat dissipation</w:t>
            </w:r>
          </w:p>
        </w:tc>
        <w:tc>
          <w:tcPr>
            <w:tcW w:w="6060" w:type="dxa"/>
            <w:shd w:val="clear"/>
            <w:tcMar>
              <w:top w:w="150" w:type="dxa"/>
              <w:left w:w="240" w:type="dxa"/>
              <w:bottom w:w="150" w:type="dxa"/>
              <w:right w:w="0" w:type="dxa"/>
            </w:tcMar>
            <w:vAlign w:val="center"/>
          </w:tcPr>
          <w:p w14:paraId="067D9978">
            <w:pPr>
              <w:bidi w:val="0"/>
              <w:rPr>
                <w:rFonts w:hint="default"/>
              </w:rPr>
            </w:pPr>
            <w:r>
              <w:rPr>
                <w:rFonts w:hint="default"/>
                <w:lang w:val="en-US" w:eastAsia="zh-CN"/>
                <w:sz w:val="18"/>
                <w:szCs w:val="18"/>
              </w:rPr>
              <w:t xml:space="preserve">40 mm or 50 mm quiet fan, 12 V; aluminium heat sink matched to the fan size</w:t>
            </w:r>
          </w:p>
        </w:tc>
      </w:tr>
      <w:tr w14:paraId="4ED2ECBB">
        <w:trPr>
          <w:cantSplit/>
        </w:trPr>
        <w:tc>
          <w:tcPr>
            <w:tcW w:w="2960" w:type="dxa"/>
            <w:shd w:val="clear"/>
            <w:tcMar>
              <w:top w:w="150" w:type="dxa"/>
              <w:left w:w="0" w:type="dxa"/>
              <w:bottom w:w="150" w:type="dxa"/>
              <w:right w:w="240" w:type="dxa"/>
            </w:tcMar>
            <w:vAlign w:val="center"/>
          </w:tcPr>
          <w:p w14:paraId="3B263EFC">
            <w:pPr>
              <w:bidi w:val="0"/>
              <w:rPr>
                <w:rFonts w:hint="default"/>
              </w:rPr>
            </w:pPr>
            <w:r>
              <w:rPr>
                <w:rFonts w:hint="default"/>
                <w:lang w:val="en-US" w:eastAsia="zh-CN"/>
                <w:sz w:val="18"/>
                <w:szCs w:val="18"/>
              </w:rPr>
              <w:t xml:space="preserve">Thermal interface</w:t>
            </w:r>
          </w:p>
        </w:tc>
        <w:tc>
          <w:tcPr>
            <w:tcW w:w="6060" w:type="dxa"/>
            <w:shd w:val="clear"/>
            <w:tcMar>
              <w:top w:w="150" w:type="dxa"/>
              <w:left w:w="240" w:type="dxa"/>
              <w:bottom w:w="150" w:type="dxa"/>
              <w:right w:w="0" w:type="dxa"/>
            </w:tcMar>
            <w:vAlign w:val="center"/>
          </w:tcPr>
          <w:p w14:paraId="6EAAD387">
            <w:pPr>
              <w:bidi w:val="0"/>
              <w:rPr>
                <w:rFonts w:hint="default"/>
              </w:rPr>
            </w:pPr>
            <w:r>
              <w:rPr>
                <w:rFonts w:hint="default"/>
                <w:lang w:val="en-US" w:eastAsia="zh-CN"/>
                <w:sz w:val="18"/>
                <w:szCs w:val="18"/>
              </w:rPr>
              <w:t xml:space="preserve">Heat-resistant thermal silicone pad, 5 mm thick; thermal grease ≥ 3 W/(m·K)</w:t>
            </w:r>
          </w:p>
        </w:tc>
      </w:tr>
    </w:tbl>
    <w:p w14:paraId="461EE34B">
      <w:pPr>
        <w:pStyle w:val="4"/>
        <w:bidi w:val="0"/>
        <w:jc w:val="left"/>
        <w:rPr>
          <w:rFonts w:hint="default"/>
        </w:rPr>
      </w:pPr>
      <w:r>
        <w:rPr>
          <w:rFonts w:hint="default"/>
        </w:rPr>
        <w:t xml:space="preserve">4.4　Optical detection module</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151A2327">
        <w:trPr>
          <w:tblHeader/>
          <w:cantSplit/>
        </w:trPr>
        <w:tc>
          <w:tcPr>
            <w:tcW w:w="2960" w:type="dxa"/>
            <w:shd w:val="clear"/>
            <w:tcMar>
              <w:top w:w="150" w:type="dxa"/>
              <w:left w:w="0" w:type="dxa"/>
              <w:bottom w:w="150" w:type="dxa"/>
              <w:right w:w="240" w:type="dxa"/>
            </w:tcMar>
            <w:vAlign w:val="center"/>
          </w:tcPr>
          <w:p w14:paraId="65B4732E">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1A43161A">
            <w:pPr>
              <w:bidi w:val="0"/>
              <w:rPr>
                <w:rFonts w:hint="default"/>
              </w:rPr>
            </w:pPr>
            <w:r>
              <w:rPr>
                <w:rFonts w:hint="default"/>
                <w:lang w:val="en-US" w:eastAsia="zh-CN"/>
                <w:sz w:val="18"/>
                <w:szCs w:val="18"/>
              </w:rPr>
              <w:t xml:space="preserve">Requirement</w:t>
            </w:r>
          </w:p>
        </w:tc>
      </w:tr>
      <w:tr w14:paraId="7AC324C6">
        <w:trPr>
          <w:cantSplit/>
        </w:trPr>
        <w:tc>
          <w:tcPr>
            <w:tcW w:w="2960" w:type="dxa"/>
            <w:shd w:val="clear"/>
            <w:tcMar>
              <w:top w:w="150" w:type="dxa"/>
              <w:left w:w="0" w:type="dxa"/>
              <w:bottom w:w="150" w:type="dxa"/>
              <w:right w:w="240" w:type="dxa"/>
            </w:tcMar>
            <w:vAlign w:val="center"/>
          </w:tcPr>
          <w:p w14:paraId="42E4F044">
            <w:pPr>
              <w:bidi w:val="0"/>
              <w:rPr>
                <w:rFonts w:hint="default"/>
              </w:rPr>
            </w:pPr>
            <w:r>
              <w:rPr>
                <w:rFonts w:hint="default"/>
                <w:lang w:val="en-US" w:eastAsia="zh-CN"/>
                <w:sz w:val="18"/>
                <w:szCs w:val="18"/>
              </w:rPr>
              <w:t xml:space="preserve">Excitation source</w:t>
            </w:r>
          </w:p>
        </w:tc>
        <w:tc>
          <w:tcPr>
            <w:tcW w:w="6060" w:type="dxa"/>
            <w:shd w:val="clear"/>
            <w:tcMar>
              <w:top w:w="150" w:type="dxa"/>
              <w:left w:w="240" w:type="dxa"/>
              <w:bottom w:w="150" w:type="dxa"/>
              <w:right w:w="0" w:type="dxa"/>
            </w:tcMar>
            <w:vAlign w:val="center"/>
          </w:tcPr>
          <w:p w14:paraId="5527E121">
            <w:pPr>
              <w:bidi w:val="0"/>
              <w:rPr>
                <w:rFonts w:hint="default"/>
              </w:rPr>
            </w:pPr>
            <w:r>
              <w:rPr>
                <w:rFonts w:hint="default"/>
                <w:lang w:val="en-US" w:eastAsia="zh-CN"/>
                <w:sz w:val="18"/>
                <w:szCs w:val="18"/>
              </w:rPr>
              <w:t xml:space="preserve">485 nm high-brightness LED, 5 mm or 10 mm, constant-current driven, 350 / 500 mA adjustable</w:t>
            </w:r>
          </w:p>
        </w:tc>
      </w:tr>
      <w:tr w14:paraId="50EA0C75">
        <w:trPr>
          <w:cantSplit/>
        </w:trPr>
        <w:tc>
          <w:tcPr>
            <w:tcW w:w="2960" w:type="dxa"/>
            <w:shd w:val="clear"/>
            <w:tcMar>
              <w:top w:w="150" w:type="dxa"/>
              <w:left w:w="0" w:type="dxa"/>
              <w:bottom w:w="150" w:type="dxa"/>
              <w:right w:w="240" w:type="dxa"/>
            </w:tcMar>
            <w:vAlign w:val="center"/>
          </w:tcPr>
          <w:p w14:paraId="5D548725">
            <w:pPr>
              <w:bidi w:val="0"/>
              <w:rPr>
                <w:rFonts w:hint="default"/>
              </w:rPr>
            </w:pPr>
            <w:r>
              <w:rPr>
                <w:rFonts w:hint="default"/>
                <w:lang w:val="en-US" w:eastAsia="zh-CN"/>
                <w:sz w:val="18"/>
                <w:szCs w:val="18"/>
              </w:rPr>
              <w:t xml:space="preserve">Collimation</w:t>
            </w:r>
          </w:p>
        </w:tc>
        <w:tc>
          <w:tcPr>
            <w:tcW w:w="6060" w:type="dxa"/>
            <w:shd w:val="clear"/>
            <w:tcMar>
              <w:top w:w="150" w:type="dxa"/>
              <w:left w:w="240" w:type="dxa"/>
              <w:bottom w:w="150" w:type="dxa"/>
              <w:right w:w="0" w:type="dxa"/>
            </w:tcMar>
            <w:vAlign w:val="center"/>
          </w:tcPr>
          <w:p w14:paraId="7544A98B">
            <w:pPr>
              <w:bidi w:val="0"/>
              <w:rPr>
                <w:rFonts w:hint="default"/>
              </w:rPr>
            </w:pPr>
            <w:r>
              <w:rPr>
                <w:rFonts w:hint="default"/>
                <w:lang w:val="en-US" w:eastAsia="zh-CN"/>
                <w:sz w:val="18"/>
                <w:szCs w:val="18"/>
              </w:rPr>
              <w:t xml:space="preserve">A collimating lens in front of the LED produces a parallel beam, spot Ø5–8 mm, divergence ≤ 5°</w:t>
            </w:r>
          </w:p>
        </w:tc>
      </w:tr>
      <w:tr w14:paraId="6AE1EA9F">
        <w:trPr>
          <w:cantSplit/>
        </w:trPr>
        <w:tc>
          <w:tcPr>
            <w:tcW w:w="2960" w:type="dxa"/>
            <w:shd w:val="clear"/>
            <w:tcMar>
              <w:top w:w="150" w:type="dxa"/>
              <w:left w:w="0" w:type="dxa"/>
              <w:bottom w:w="150" w:type="dxa"/>
              <w:right w:w="240" w:type="dxa"/>
            </w:tcMar>
            <w:vAlign w:val="center"/>
          </w:tcPr>
          <w:p w14:paraId="47EDD281">
            <w:pPr>
              <w:bidi w:val="0"/>
              <w:rPr>
                <w:rFonts w:hint="default"/>
              </w:rPr>
            </w:pPr>
            <w:r>
              <w:rPr>
                <w:rFonts w:hint="default"/>
                <w:lang w:val="en-US" w:eastAsia="zh-CN"/>
                <w:sz w:val="18"/>
                <w:szCs w:val="18"/>
              </w:rPr>
              <w:t xml:space="preserve">Excitation filter</w:t>
            </w:r>
          </w:p>
        </w:tc>
        <w:tc>
          <w:tcPr>
            <w:tcW w:w="6060" w:type="dxa"/>
            <w:shd w:val="clear"/>
            <w:tcMar>
              <w:top w:w="150" w:type="dxa"/>
              <w:left w:w="240" w:type="dxa"/>
              <w:bottom w:w="150" w:type="dxa"/>
              <w:right w:w="0" w:type="dxa"/>
            </w:tcMar>
            <w:vAlign w:val="center"/>
          </w:tcPr>
          <w:p w14:paraId="330C46AD">
            <w:pPr>
              <w:bidi w:val="0"/>
              <w:rPr>
                <w:rFonts w:hint="default"/>
              </w:rPr>
            </w:pPr>
            <w:r>
              <w:rPr>
                <w:rFonts w:hint="default"/>
                <w:lang w:val="en-US" w:eastAsia="zh-CN"/>
                <w:sz w:val="18"/>
                <w:szCs w:val="18"/>
              </w:rPr>
              <w:t xml:space="preserve">480/30 band-pass, removes LED stray light</w:t>
            </w:r>
          </w:p>
        </w:tc>
      </w:tr>
      <w:tr w14:paraId="733FEECF">
        <w:trPr>
          <w:cantSplit/>
        </w:trPr>
        <w:tc>
          <w:tcPr>
            <w:tcW w:w="2960" w:type="dxa"/>
            <w:shd w:val="clear"/>
            <w:tcMar>
              <w:top w:w="150" w:type="dxa"/>
              <w:left w:w="0" w:type="dxa"/>
              <w:bottom w:w="150" w:type="dxa"/>
              <w:right w:w="240" w:type="dxa"/>
            </w:tcMar>
            <w:vAlign w:val="center"/>
          </w:tcPr>
          <w:p w14:paraId="33A7E760">
            <w:pPr>
              <w:bidi w:val="0"/>
              <w:rPr>
                <w:rFonts w:hint="default"/>
              </w:rPr>
            </w:pPr>
            <w:r>
              <w:rPr>
                <w:rFonts w:hint="default"/>
                <w:lang w:val="en-US" w:eastAsia="zh-CN"/>
                <w:sz w:val="18"/>
                <w:szCs w:val="18"/>
              </w:rPr>
              <w:t xml:space="preserve">Emission filter</w:t>
            </w:r>
          </w:p>
        </w:tc>
        <w:tc>
          <w:tcPr>
            <w:tcW w:w="6060" w:type="dxa"/>
            <w:shd w:val="clear"/>
            <w:tcMar>
              <w:top w:w="150" w:type="dxa"/>
              <w:left w:w="240" w:type="dxa"/>
              <w:bottom w:w="150" w:type="dxa"/>
              <w:right w:w="0" w:type="dxa"/>
            </w:tcMar>
            <w:vAlign w:val="center"/>
          </w:tcPr>
          <w:p w14:paraId="710058C0">
            <w:pPr>
              <w:bidi w:val="0"/>
              <w:rPr>
                <w:rFonts w:hint="default"/>
              </w:rPr>
            </w:pPr>
            <w:r>
              <w:rPr>
                <w:rFonts w:hint="default"/>
                <w:lang w:val="en-US" w:eastAsia="zh-CN"/>
                <w:sz w:val="18"/>
                <w:szCs w:val="18"/>
              </w:rPr>
              <w:t xml:space="preserve">530/20 band-pass, OD ≥ 6 at 485 nm, transmittance ≥ 90% at 528 nm</w:t>
            </w:r>
          </w:p>
        </w:tc>
      </w:tr>
      <w:tr w14:paraId="2364F948">
        <w:trPr>
          <w:cantSplit/>
        </w:trPr>
        <w:tc>
          <w:tcPr>
            <w:tcW w:w="2960" w:type="dxa"/>
            <w:shd w:val="clear"/>
            <w:tcMar>
              <w:top w:w="150" w:type="dxa"/>
              <w:left w:w="0" w:type="dxa"/>
              <w:bottom w:w="150" w:type="dxa"/>
              <w:right w:w="240" w:type="dxa"/>
            </w:tcMar>
            <w:vAlign w:val="center"/>
          </w:tcPr>
          <w:p w14:paraId="0438A9E2">
            <w:pPr>
              <w:bidi w:val="0"/>
              <w:rPr>
                <w:rFonts w:hint="default"/>
              </w:rPr>
            </w:pPr>
            <w:r>
              <w:rPr>
                <w:rFonts w:hint="default"/>
                <w:lang w:val="en-US" w:eastAsia="zh-CN"/>
                <w:sz w:val="18"/>
                <w:szCs w:val="18"/>
              </w:rPr>
              <w:t xml:space="preserve">Photodetector</w:t>
            </w:r>
          </w:p>
        </w:tc>
        <w:tc>
          <w:tcPr>
            <w:tcW w:w="6060" w:type="dxa"/>
            <w:shd w:val="clear"/>
            <w:tcMar>
              <w:top w:w="150" w:type="dxa"/>
              <w:left w:w="240" w:type="dxa"/>
              <w:bottom w:w="150" w:type="dxa"/>
              <w:right w:w="0" w:type="dxa"/>
            </w:tcMar>
            <w:vAlign w:val="center"/>
          </w:tcPr>
          <w:p w14:paraId="2E1C7882">
            <w:pPr>
              <w:bidi w:val="0"/>
              <w:rPr>
                <w:rFonts w:hint="default"/>
              </w:rPr>
            </w:pPr>
            <w:r>
              <w:rPr>
                <w:rFonts w:hint="default"/>
                <w:lang w:val="en-US" w:eastAsia="zh-CN"/>
                <w:sz w:val="18"/>
                <w:szCs w:val="18"/>
              </w:rPr>
              <w:t xml:space="preserve">BPW34 or SFH203 silicon photodiode, responsive at 528 nm</w:t>
            </w:r>
          </w:p>
        </w:tc>
      </w:tr>
      <w:tr w14:paraId="6CADD38B">
        <w:trPr>
          <w:cantSplit/>
        </w:trPr>
        <w:tc>
          <w:tcPr>
            <w:tcW w:w="2960" w:type="dxa"/>
            <w:shd w:val="clear"/>
            <w:tcMar>
              <w:top w:w="150" w:type="dxa"/>
              <w:left w:w="0" w:type="dxa"/>
              <w:bottom w:w="150" w:type="dxa"/>
              <w:right w:w="240" w:type="dxa"/>
            </w:tcMar>
            <w:vAlign w:val="center"/>
          </w:tcPr>
          <w:p w14:paraId="219C0C76">
            <w:pPr>
              <w:bidi w:val="0"/>
              <w:rPr>
                <w:rFonts w:hint="default"/>
              </w:rPr>
            </w:pPr>
            <w:r>
              <w:rPr>
                <w:rFonts w:hint="default"/>
                <w:lang w:val="en-US" w:eastAsia="zh-CN"/>
                <w:sz w:val="18"/>
                <w:szCs w:val="18"/>
              </w:rPr>
              <w:t xml:space="preserve">Transimpedance amplifier</w:t>
            </w:r>
          </w:p>
        </w:tc>
        <w:tc>
          <w:tcPr>
            <w:tcW w:w="6060" w:type="dxa"/>
            <w:shd w:val="clear"/>
            <w:tcMar>
              <w:top w:w="150" w:type="dxa"/>
              <w:left w:w="240" w:type="dxa"/>
              <w:bottom w:w="150" w:type="dxa"/>
              <w:right w:w="0" w:type="dxa"/>
            </w:tcMar>
            <w:vAlign w:val="center"/>
          </w:tcPr>
          <w:p w14:paraId="4FBA91A2">
            <w:pPr>
              <w:bidi w:val="0"/>
              <w:rPr>
                <w:rFonts w:hint="default"/>
              </w:rPr>
            </w:pPr>
            <w:r>
              <w:rPr>
                <w:rFonts w:hint="default"/>
                <w:lang w:val="en-US" w:eastAsia="zh-CN"/>
                <w:sz w:val="18"/>
                <w:szCs w:val="18"/>
              </w:rPr>
              <w:t xml:space="preserve">OPA350 or LM358 operational amplifier in a transimpedance configuration</w:t>
            </w:r>
          </w:p>
        </w:tc>
      </w:tr>
      <w:tr w14:paraId="6BB67A9B">
        <w:trPr>
          <w:cantSplit/>
        </w:trPr>
        <w:tc>
          <w:tcPr>
            <w:tcW w:w="2960" w:type="dxa"/>
            <w:shd w:val="clear"/>
            <w:tcMar>
              <w:top w:w="150" w:type="dxa"/>
              <w:left w:w="0" w:type="dxa"/>
              <w:bottom w:w="150" w:type="dxa"/>
              <w:right w:w="240" w:type="dxa"/>
            </w:tcMar>
            <w:vAlign w:val="center"/>
          </w:tcPr>
          <w:p w14:paraId="76DB93D3">
            <w:pPr>
              <w:bidi w:val="0"/>
              <w:rPr>
                <w:rFonts w:hint="default"/>
              </w:rPr>
            </w:pPr>
            <w:r>
              <w:rPr>
                <w:rFonts w:hint="default"/>
                <w:lang w:val="en-US" w:eastAsia="zh-CN"/>
                <w:sz w:val="18"/>
                <w:szCs w:val="18"/>
              </w:rPr>
              <w:t xml:space="preserve">Optical layout</w:t>
            </w:r>
          </w:p>
        </w:tc>
        <w:tc>
          <w:tcPr>
            <w:tcW w:w="6060" w:type="dxa"/>
            <w:shd w:val="clear"/>
            <w:tcMar>
              <w:top w:w="150" w:type="dxa"/>
              <w:left w:w="240" w:type="dxa"/>
              <w:bottom w:w="150" w:type="dxa"/>
              <w:right w:w="0" w:type="dxa"/>
            </w:tcMar>
            <w:vAlign w:val="center"/>
          </w:tcPr>
          <w:p w14:paraId="6DC32138">
            <w:pPr>
              <w:bidi w:val="0"/>
              <w:rPr>
                <w:rFonts w:hint="default"/>
              </w:rPr>
            </w:pPr>
            <w:r>
              <w:rPr>
                <w:rFonts w:hint="default"/>
                <w:lang w:val="en-US" w:eastAsia="zh-CN"/>
                <w:sz w:val="18"/>
                <w:szCs w:val="18"/>
              </w:rPr>
              <w:t xml:space="preserve">90° geometry; the excitation beam and the fluorescence share the two optical windows</w:t>
            </w:r>
          </w:p>
        </w:tc>
      </w:tr>
      <w:tr w14:paraId="5CA8D910">
        <w:trPr>
          <w:cantSplit/>
        </w:trPr>
        <w:tc>
          <w:tcPr>
            <w:tcW w:w="2960" w:type="dxa"/>
            <w:shd w:val="clear"/>
            <w:tcMar>
              <w:top w:w="150" w:type="dxa"/>
              <w:left w:w="0" w:type="dxa"/>
              <w:bottom w:w="150" w:type="dxa"/>
              <w:right w:w="240" w:type="dxa"/>
            </w:tcMar>
            <w:vAlign w:val="center"/>
          </w:tcPr>
          <w:p w14:paraId="631E25D7">
            <w:pPr>
              <w:bidi w:val="0"/>
              <w:rPr>
                <w:rFonts w:hint="default"/>
              </w:rPr>
            </w:pPr>
            <w:r>
              <w:rPr>
                <w:rFonts w:hint="default"/>
                <w:lang w:val="en-US" w:eastAsia="zh-CN"/>
                <w:sz w:val="18"/>
                <w:szCs w:val="18"/>
              </w:rPr>
              <w:t xml:space="preserve">Light shielding</w:t>
            </w:r>
          </w:p>
        </w:tc>
        <w:tc>
          <w:tcPr>
            <w:tcW w:w="6060" w:type="dxa"/>
            <w:shd w:val="clear"/>
            <w:tcMar>
              <w:top w:w="150" w:type="dxa"/>
              <w:left w:w="240" w:type="dxa"/>
              <w:bottom w:w="150" w:type="dxa"/>
              <w:right w:w="0" w:type="dxa"/>
            </w:tcMar>
            <w:vAlign w:val="center"/>
          </w:tcPr>
          <w:p w14:paraId="6B178236">
            <w:pPr>
              <w:bidi w:val="0"/>
              <w:rPr>
                <w:rFonts w:hint="default"/>
              </w:rPr>
            </w:pPr>
            <w:r>
              <w:rPr>
                <w:rFonts w:hint="default"/>
                <w:lang w:val="en-US" w:eastAsia="zh-CN"/>
                <w:sz w:val="18"/>
                <w:szCs w:val="18"/>
              </w:rPr>
              <w:t xml:space="preserve">Black heat-shrink tubing or a 3D-printed shroud to exclude ambient light</w:t>
            </w:r>
          </w:p>
        </w:tc>
      </w:tr>
      <w:tr w14:paraId="14964CD5">
        <w:trPr>
          <w:cantSplit/>
        </w:trPr>
        <w:tc>
          <w:tcPr>
            <w:tcW w:w="2960" w:type="dxa"/>
            <w:shd w:val="clear"/>
            <w:tcMar>
              <w:top w:w="150" w:type="dxa"/>
              <w:left w:w="0" w:type="dxa"/>
              <w:bottom w:w="150" w:type="dxa"/>
              <w:right w:w="240" w:type="dxa"/>
            </w:tcMar>
            <w:vAlign w:val="center"/>
          </w:tcPr>
          <w:p w14:paraId="7A4052B9">
            <w:pPr>
              <w:bidi w:val="0"/>
              <w:rPr>
                <w:rFonts w:hint="default"/>
              </w:rPr>
            </w:pPr>
            <w:r>
              <w:rPr>
                <w:rFonts w:hint="default"/>
                <w:lang w:val="en-US" w:eastAsia="zh-CN"/>
                <w:sz w:val="18"/>
                <w:szCs w:val="18"/>
              </w:rPr>
              <w:t xml:space="preserve">Optical signal acquisition</w:t>
            </w:r>
          </w:p>
        </w:tc>
        <w:tc>
          <w:tcPr>
            <w:tcW w:w="6060" w:type="dxa"/>
            <w:shd w:val="clear"/>
            <w:tcMar>
              <w:top w:w="150" w:type="dxa"/>
              <w:left w:w="240" w:type="dxa"/>
              <w:bottom w:w="150" w:type="dxa"/>
              <w:right w:w="0" w:type="dxa"/>
            </w:tcMar>
            <w:vAlign w:val="center"/>
          </w:tcPr>
          <w:p w14:paraId="313CBE3E">
            <w:pPr>
              <w:bidi w:val="0"/>
              <w:rPr>
                <w:rFonts w:hint="default"/>
              </w:rPr>
            </w:pPr>
            <w:r>
              <w:rPr>
                <w:rFonts w:hint="default"/>
                <w:lang w:val="en-US" w:eastAsia="zh-CN"/>
                <w:sz w:val="18"/>
                <w:szCs w:val="18"/>
              </w:rPr>
              <w:t xml:space="preserve">ADS1115 module, 16-bit ADC, 4 differential channels, I²C interface</w:t>
            </w:r>
          </w:p>
        </w:tc>
      </w:tr>
      <w:tr w14:paraId="4D38368E">
        <w:trPr>
          <w:cantSplit/>
        </w:trPr>
        <w:tc>
          <w:tcPr>
            <w:tcW w:w="2960" w:type="dxa"/>
            <w:shd w:val="clear"/>
            <w:tcMar>
              <w:top w:w="150" w:type="dxa"/>
              <w:left w:w="0" w:type="dxa"/>
              <w:bottom w:w="150" w:type="dxa"/>
              <w:right w:w="240" w:type="dxa"/>
            </w:tcMar>
            <w:vAlign w:val="center"/>
          </w:tcPr>
          <w:p w14:paraId="308DA6A0">
            <w:pPr>
              <w:bidi w:val="0"/>
              <w:rPr>
                <w:rFonts w:hint="default"/>
              </w:rPr>
            </w:pPr>
            <w:r>
              <w:rPr>
                <w:rFonts w:hint="default"/>
                <w:lang w:val="en-US" w:eastAsia="zh-CN"/>
                <w:sz w:val="18"/>
                <w:szCs w:val="18"/>
              </w:rPr>
              <w:t xml:space="preserve">Limit of detection</w:t>
            </w:r>
          </w:p>
        </w:tc>
        <w:tc>
          <w:tcPr>
            <w:tcW w:w="6060" w:type="dxa"/>
            <w:shd w:val="clear"/>
            <w:tcMar>
              <w:top w:w="150" w:type="dxa"/>
              <w:left w:w="240" w:type="dxa"/>
              <w:bottom w:w="150" w:type="dxa"/>
              <w:right w:w="0" w:type="dxa"/>
            </w:tcMar>
            <w:vAlign w:val="center"/>
          </w:tcPr>
          <w:p w14:paraId="0EFE3DA7">
            <w:pPr>
              <w:bidi w:val="0"/>
              <w:rPr>
                <w:rFonts w:hint="default"/>
              </w:rPr>
            </w:pPr>
            <w:r>
              <w:rPr>
                <w:rFonts w:hint="default"/>
                <w:lang w:val="en-US" w:eastAsia="zh-CN"/>
                <w:sz w:val="18"/>
                <w:szCs w:val="18"/>
              </w:rPr>
              <w:t xml:space="preserve">To be verified experimentally; target ng/mL or PFU/mL level</w:t>
            </w:r>
          </w:p>
        </w:tc>
      </w:tr>
      <w:tr w14:paraId="56E4C0BF">
        <w:trPr>
          <w:cantSplit/>
        </w:trPr>
        <w:tc>
          <w:tcPr>
            <w:tcW w:w="2960" w:type="dxa"/>
            <w:shd w:val="clear"/>
            <w:tcMar>
              <w:top w:w="150" w:type="dxa"/>
              <w:left w:w="0" w:type="dxa"/>
              <w:bottom w:w="150" w:type="dxa"/>
              <w:right w:w="240" w:type="dxa"/>
            </w:tcMar>
            <w:vAlign w:val="center"/>
          </w:tcPr>
          <w:p w14:paraId="4B6CB5A3">
            <w:pPr>
              <w:bidi w:val="0"/>
              <w:rPr>
                <w:rFonts w:hint="default"/>
              </w:rPr>
            </w:pPr>
            <w:r>
              <w:rPr>
                <w:rFonts w:hint="default"/>
                <w:lang w:val="en-US" w:eastAsia="zh-CN"/>
                <w:sz w:val="18"/>
                <w:szCs w:val="18"/>
              </w:rPr>
              <w:t xml:space="preserve">Specificity</w:t>
            </w:r>
          </w:p>
        </w:tc>
        <w:tc>
          <w:tcPr>
            <w:tcW w:w="6060" w:type="dxa"/>
            <w:shd w:val="clear"/>
            <w:tcMar>
              <w:top w:w="150" w:type="dxa"/>
              <w:left w:w="240" w:type="dxa"/>
              <w:bottom w:w="150" w:type="dxa"/>
              <w:right w:w="0" w:type="dxa"/>
            </w:tcMar>
            <w:vAlign w:val="center"/>
          </w:tcPr>
          <w:p w14:paraId="75AF18FD">
            <w:pPr>
              <w:bidi w:val="0"/>
              <w:rPr>
                <w:rFonts w:hint="default"/>
              </w:rPr>
            </w:pPr>
            <w:r>
              <w:rPr>
                <w:rFonts w:hint="default"/>
                <w:lang w:val="en-US" w:eastAsia="zh-CN"/>
                <w:sz w:val="18"/>
                <w:szCs w:val="18"/>
              </w:rPr>
              <w:t xml:space="preserve">Specific response to the HA protein of the target virus, to be verified against negative controls</w:t>
            </w:r>
          </w:p>
        </w:tc>
      </w:tr>
    </w:tbl>
    <w:p w14:paraId="0233C309">
      <w:pPr>
        <w:pStyle w:val="4"/>
        <w:bidi w:val="0"/>
        <w:jc w:val="left"/>
        <w:rPr>
          <w:rFonts w:hint="default"/>
        </w:rPr>
      </w:pPr>
      <w:r>
        <w:rPr>
          <w:rFonts w:hint="default"/>
        </w:rPr>
        <w:t xml:space="preserve">4.5　Main control and display module</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15F10683">
        <w:trPr>
          <w:tblHeader/>
          <w:cantSplit/>
        </w:trPr>
        <w:tc>
          <w:tcPr>
            <w:tcW w:w="2960" w:type="dxa"/>
            <w:shd w:val="clear"/>
            <w:tcMar>
              <w:top w:w="150" w:type="dxa"/>
              <w:left w:w="0" w:type="dxa"/>
              <w:bottom w:w="150" w:type="dxa"/>
              <w:right w:w="240" w:type="dxa"/>
            </w:tcMar>
            <w:vAlign w:val="center"/>
          </w:tcPr>
          <w:p w14:paraId="4639D534">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2ABFA2B2">
            <w:pPr>
              <w:bidi w:val="0"/>
              <w:rPr>
                <w:rFonts w:hint="default"/>
              </w:rPr>
            </w:pPr>
            <w:r>
              <w:rPr>
                <w:rFonts w:hint="default"/>
                <w:lang w:val="en-US" w:eastAsia="zh-CN"/>
                <w:sz w:val="18"/>
                <w:szCs w:val="18"/>
              </w:rPr>
              <w:t xml:space="preserve">Requirement</w:t>
            </w:r>
          </w:p>
        </w:tc>
      </w:tr>
      <w:tr w14:paraId="6402C2BF">
        <w:trPr>
          <w:cantSplit/>
        </w:trPr>
        <w:tc>
          <w:tcPr>
            <w:tcW w:w="2960" w:type="dxa"/>
            <w:shd w:val="clear"/>
            <w:tcMar>
              <w:top w:w="150" w:type="dxa"/>
              <w:left w:w="0" w:type="dxa"/>
              <w:bottom w:w="150" w:type="dxa"/>
              <w:right w:w="240" w:type="dxa"/>
            </w:tcMar>
            <w:vAlign w:val="center"/>
          </w:tcPr>
          <w:p w14:paraId="695555A4">
            <w:pPr>
              <w:bidi w:val="0"/>
              <w:rPr>
                <w:rFonts w:hint="default"/>
              </w:rPr>
            </w:pPr>
            <w:r>
              <w:rPr>
                <w:rFonts w:hint="default"/>
                <w:lang w:val="en-US" w:eastAsia="zh-CN"/>
                <w:sz w:val="18"/>
                <w:szCs w:val="18"/>
              </w:rPr>
              <w:t xml:space="preserve">Main control board</w:t>
            </w:r>
          </w:p>
        </w:tc>
        <w:tc>
          <w:tcPr>
            <w:tcW w:w="6060" w:type="dxa"/>
            <w:shd w:val="clear"/>
            <w:tcMar>
              <w:top w:w="150" w:type="dxa"/>
              <w:left w:w="240" w:type="dxa"/>
              <w:bottom w:w="150" w:type="dxa"/>
              <w:right w:w="0" w:type="dxa"/>
            </w:tcMar>
            <w:vAlign w:val="center"/>
          </w:tcPr>
          <w:p w14:paraId="381363CB">
            <w:pPr>
              <w:bidi w:val="0"/>
              <w:rPr>
                <w:rFonts w:hint="default"/>
              </w:rPr>
            </w:pPr>
            <w:r>
              <w:rPr>
                <w:rFonts w:hint="default"/>
                <w:lang w:val="en-US" w:eastAsia="zh-CN"/>
                <w:sz w:val="18"/>
                <w:szCs w:val="18"/>
              </w:rPr>
              <w:t xml:space="preserve">STM32F103C8T6 core board (recommended) or an ESP32 development board</w:t>
            </w:r>
          </w:p>
        </w:tc>
      </w:tr>
      <w:tr w14:paraId="78951A79">
        <w:trPr>
          <w:cantSplit/>
        </w:trPr>
        <w:tc>
          <w:tcPr>
            <w:tcW w:w="2960" w:type="dxa"/>
            <w:shd w:val="clear"/>
            <w:tcMar>
              <w:top w:w="150" w:type="dxa"/>
              <w:left w:w="0" w:type="dxa"/>
              <w:bottom w:w="150" w:type="dxa"/>
              <w:right w:w="240" w:type="dxa"/>
            </w:tcMar>
            <w:vAlign w:val="center"/>
          </w:tcPr>
          <w:p w14:paraId="556A628C">
            <w:pPr>
              <w:bidi w:val="0"/>
              <w:rPr>
                <w:rFonts w:hint="default"/>
              </w:rPr>
            </w:pPr>
            <w:r>
              <w:rPr>
                <w:rFonts w:hint="default"/>
                <w:lang w:val="en-US" w:eastAsia="zh-CN"/>
                <w:sz w:val="18"/>
                <w:szCs w:val="18"/>
              </w:rPr>
              <w:t xml:space="preserve">Display</w:t>
            </w:r>
          </w:p>
        </w:tc>
        <w:tc>
          <w:tcPr>
            <w:tcW w:w="6060" w:type="dxa"/>
            <w:shd w:val="clear"/>
            <w:tcMar>
              <w:top w:w="150" w:type="dxa"/>
              <w:left w:w="240" w:type="dxa"/>
              <w:bottom w:w="150" w:type="dxa"/>
              <w:right w:w="0" w:type="dxa"/>
            </w:tcMar>
            <w:vAlign w:val="center"/>
          </w:tcPr>
          <w:p w14:paraId="48D2C1D6">
            <w:pPr>
              <w:bidi w:val="0"/>
              <w:rPr>
                <w:rFonts w:hint="default"/>
              </w:rPr>
            </w:pPr>
            <w:r>
              <w:rPr>
                <w:rFonts w:hint="default"/>
                <w:lang w:val="en-US" w:eastAsia="zh-CN"/>
                <w:sz w:val="18"/>
                <w:szCs w:val="18"/>
              </w:rPr>
              <w:t xml:space="preserve">4.3-inch or 7-inch TFT capacitive touch screen over a serial link (DWIN / Nextion)</w:t>
            </w:r>
          </w:p>
        </w:tc>
      </w:tr>
      <w:tr w14:paraId="0BE70B42">
        <w:trPr>
          <w:cantSplit/>
        </w:trPr>
        <w:tc>
          <w:tcPr>
            <w:tcW w:w="2960" w:type="dxa"/>
            <w:shd w:val="clear"/>
            <w:tcMar>
              <w:top w:w="150" w:type="dxa"/>
              <w:left w:w="0" w:type="dxa"/>
              <w:bottom w:w="150" w:type="dxa"/>
              <w:right w:w="240" w:type="dxa"/>
            </w:tcMar>
            <w:vAlign w:val="center"/>
          </w:tcPr>
          <w:p w14:paraId="3D4231FF">
            <w:pPr>
              <w:bidi w:val="0"/>
              <w:rPr>
                <w:rFonts w:hint="default"/>
              </w:rPr>
            </w:pPr>
            <w:r>
              <w:rPr>
                <w:rFonts w:hint="default"/>
                <w:lang w:val="en-US" w:eastAsia="zh-CN"/>
                <w:sz w:val="18"/>
                <w:szCs w:val="18"/>
              </w:rPr>
              <w:t xml:space="preserve">User input</w:t>
            </w:r>
          </w:p>
        </w:tc>
        <w:tc>
          <w:tcPr>
            <w:tcW w:w="6060" w:type="dxa"/>
            <w:shd w:val="clear"/>
            <w:tcMar>
              <w:top w:w="150" w:type="dxa"/>
              <w:left w:w="240" w:type="dxa"/>
              <w:bottom w:w="150" w:type="dxa"/>
              <w:right w:w="0" w:type="dxa"/>
            </w:tcMar>
            <w:vAlign w:val="center"/>
          </w:tcPr>
          <w:p w14:paraId="3E051426">
            <w:pPr>
              <w:bidi w:val="0"/>
              <w:rPr>
                <w:rFonts w:hint="default"/>
              </w:rPr>
            </w:pPr>
            <w:r>
              <w:rPr>
                <w:rFonts w:hint="default"/>
                <w:lang w:val="en-US" w:eastAsia="zh-CN"/>
                <w:sz w:val="18"/>
                <w:szCs w:val="18"/>
              </w:rPr>
              <w:t xml:space="preserve">KY-040 rotary encoder with push button, for setting the temperature and other parameters</w:t>
            </w:r>
          </w:p>
        </w:tc>
      </w:tr>
      <w:tr w14:paraId="1E0C031E">
        <w:trPr>
          <w:cantSplit/>
        </w:trPr>
        <w:tc>
          <w:tcPr>
            <w:tcW w:w="2960" w:type="dxa"/>
            <w:shd w:val="clear"/>
            <w:tcMar>
              <w:top w:w="150" w:type="dxa"/>
              <w:left w:w="0" w:type="dxa"/>
              <w:bottom w:w="150" w:type="dxa"/>
              <w:right w:w="240" w:type="dxa"/>
            </w:tcMar>
            <w:vAlign w:val="center"/>
          </w:tcPr>
          <w:p w14:paraId="00EB4BD2">
            <w:pPr>
              <w:bidi w:val="0"/>
              <w:rPr>
                <w:rFonts w:hint="default"/>
              </w:rPr>
            </w:pPr>
            <w:r>
              <w:rPr>
                <w:rFonts w:hint="default"/>
                <w:lang w:val="en-US" w:eastAsia="zh-CN"/>
                <w:sz w:val="18"/>
                <w:szCs w:val="18"/>
              </w:rPr>
              <w:t xml:space="preserve">Alarm</w:t>
            </w:r>
          </w:p>
        </w:tc>
        <w:tc>
          <w:tcPr>
            <w:tcW w:w="6060" w:type="dxa"/>
            <w:shd w:val="clear"/>
            <w:tcMar>
              <w:top w:w="150" w:type="dxa"/>
              <w:left w:w="240" w:type="dxa"/>
              <w:bottom w:w="150" w:type="dxa"/>
              <w:right w:w="0" w:type="dxa"/>
            </w:tcMar>
            <w:vAlign w:val="center"/>
          </w:tcPr>
          <w:p w14:paraId="0CCD995B">
            <w:pPr>
              <w:bidi w:val="0"/>
              <w:rPr>
                <w:rFonts w:hint="default"/>
              </w:rPr>
            </w:pPr>
            <w:r>
              <w:rPr>
                <w:rFonts w:hint="default"/>
                <w:lang w:val="en-US" w:eastAsia="zh-CN"/>
                <w:sz w:val="18"/>
                <w:szCs w:val="18"/>
              </w:rPr>
              <w:t xml:space="preserve">Active buzzer, 5 V, sounding on over-temperature or an optical fault</w:t>
            </w:r>
          </w:p>
        </w:tc>
      </w:tr>
      <w:tr w14:paraId="3153D6E0">
        <w:trPr>
          <w:cantSplit/>
        </w:trPr>
        <w:tc>
          <w:tcPr>
            <w:tcW w:w="2960" w:type="dxa"/>
            <w:shd w:val="clear"/>
            <w:tcMar>
              <w:top w:w="150" w:type="dxa"/>
              <w:left w:w="0" w:type="dxa"/>
              <w:bottom w:w="150" w:type="dxa"/>
              <w:right w:w="240" w:type="dxa"/>
            </w:tcMar>
            <w:vAlign w:val="center"/>
          </w:tcPr>
          <w:p w14:paraId="0AB40491">
            <w:pPr>
              <w:bidi w:val="0"/>
              <w:rPr>
                <w:rFonts w:hint="default"/>
              </w:rPr>
            </w:pPr>
            <w:r>
              <w:rPr>
                <w:rFonts w:hint="default"/>
                <w:lang w:val="en-US" w:eastAsia="zh-CN"/>
                <w:sz w:val="18"/>
                <w:szCs w:val="18"/>
              </w:rPr>
              <w:t xml:space="preserve">Programming interface</w:t>
            </w:r>
          </w:p>
        </w:tc>
        <w:tc>
          <w:tcPr>
            <w:tcW w:w="6060" w:type="dxa"/>
            <w:shd w:val="clear"/>
            <w:tcMar>
              <w:top w:w="150" w:type="dxa"/>
              <w:left w:w="240" w:type="dxa"/>
              <w:bottom w:w="150" w:type="dxa"/>
              <w:right w:w="0" w:type="dxa"/>
            </w:tcMar>
            <w:vAlign w:val="center"/>
          </w:tcPr>
          <w:p w14:paraId="3D3F862B">
            <w:pPr>
              <w:bidi w:val="0"/>
              <w:rPr>
                <w:rFonts w:hint="default"/>
              </w:rPr>
            </w:pPr>
            <w:r>
              <w:rPr>
                <w:rFonts w:hint="default"/>
                <w:lang w:val="en-US" w:eastAsia="zh-CN"/>
                <w:sz w:val="18"/>
                <w:szCs w:val="18"/>
              </w:rPr>
              <w:t xml:space="preserve">USB-to-TTL module, CH340 or CP2102</w:t>
            </w:r>
          </w:p>
        </w:tc>
      </w:tr>
      <w:tr w14:paraId="6CB1E350">
        <w:trPr>
          <w:cantSplit/>
        </w:trPr>
        <w:tc>
          <w:tcPr>
            <w:tcW w:w="2960" w:type="dxa"/>
            <w:shd w:val="clear"/>
            <w:tcMar>
              <w:top w:w="150" w:type="dxa"/>
              <w:left w:w="0" w:type="dxa"/>
              <w:bottom w:w="150" w:type="dxa"/>
              <w:right w:w="240" w:type="dxa"/>
            </w:tcMar>
            <w:vAlign w:val="center"/>
          </w:tcPr>
          <w:p w14:paraId="324F8058">
            <w:pPr>
              <w:bidi w:val="0"/>
              <w:rPr>
                <w:rFonts w:hint="default"/>
              </w:rPr>
            </w:pPr>
            <w:r>
              <w:rPr>
                <w:rFonts w:hint="default"/>
                <w:lang w:val="en-US" w:eastAsia="zh-CN"/>
                <w:sz w:val="18"/>
                <w:szCs w:val="18"/>
              </w:rPr>
              <w:t xml:space="preserve">Data storage</w:t>
            </w:r>
          </w:p>
        </w:tc>
        <w:tc>
          <w:tcPr>
            <w:tcW w:w="6060" w:type="dxa"/>
            <w:shd w:val="clear"/>
            <w:tcMar>
              <w:top w:w="150" w:type="dxa"/>
              <w:left w:w="240" w:type="dxa"/>
              <w:bottom w:w="150" w:type="dxa"/>
              <w:right w:w="0" w:type="dxa"/>
            </w:tcMar>
            <w:vAlign w:val="center"/>
          </w:tcPr>
          <w:p w14:paraId="6927BFF0">
            <w:pPr>
              <w:bidi w:val="0"/>
              <w:rPr>
                <w:rFonts w:hint="default"/>
              </w:rPr>
            </w:pPr>
            <w:r>
              <w:rPr>
                <w:rFonts w:hint="default"/>
                <w:lang w:val="en-US" w:eastAsia="zh-CN"/>
                <w:sz w:val="18"/>
                <w:szCs w:val="18"/>
              </w:rPr>
              <w:t xml:space="preserve">Real-time display of the temperature and fluorescence intensity curves; data export supported</w:t>
            </w:r>
          </w:p>
        </w:tc>
      </w:tr>
    </w:tbl>
    <w:p w14:paraId="6ED57346">
      <w:pPr>
        <w:pStyle w:val="4"/>
        <w:bidi w:val="0"/>
        <w:jc w:val="left"/>
        <w:rPr>
          <w:rFonts w:hint="default"/>
        </w:rPr>
      </w:pPr>
      <w:r>
        <w:rPr>
          <w:rFonts w:hint="default"/>
        </w:rPr>
        <w:t xml:space="preserve">4.6　Communications and host computer</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763C7B63">
        <w:trPr>
          <w:tblHeader/>
          <w:cantSplit/>
        </w:trPr>
        <w:tc>
          <w:tcPr>
            <w:tcW w:w="2960" w:type="dxa"/>
            <w:shd w:val="clear"/>
            <w:tcMar>
              <w:top w:w="150" w:type="dxa"/>
              <w:left w:w="0" w:type="dxa"/>
              <w:bottom w:w="150" w:type="dxa"/>
              <w:right w:w="240" w:type="dxa"/>
            </w:tcMar>
            <w:vAlign w:val="center"/>
          </w:tcPr>
          <w:p w14:paraId="78080F75">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71489317">
            <w:pPr>
              <w:bidi w:val="0"/>
              <w:rPr>
                <w:rFonts w:hint="default"/>
              </w:rPr>
            </w:pPr>
            <w:r>
              <w:rPr>
                <w:rFonts w:hint="default"/>
                <w:lang w:val="en-US" w:eastAsia="zh-CN"/>
                <w:sz w:val="18"/>
                <w:szCs w:val="18"/>
              </w:rPr>
              <w:t xml:space="preserve">Requirement</w:t>
            </w:r>
          </w:p>
        </w:tc>
      </w:tr>
      <w:tr w14:paraId="40F75FA2">
        <w:trPr>
          <w:cantSplit/>
        </w:trPr>
        <w:tc>
          <w:tcPr>
            <w:tcW w:w="2960" w:type="dxa"/>
            <w:shd w:val="clear"/>
            <w:tcMar>
              <w:top w:w="150" w:type="dxa"/>
              <w:left w:w="0" w:type="dxa"/>
              <w:bottom w:w="150" w:type="dxa"/>
              <w:right w:w="240" w:type="dxa"/>
            </w:tcMar>
            <w:vAlign w:val="center"/>
          </w:tcPr>
          <w:p w14:paraId="3473DC2F">
            <w:pPr>
              <w:bidi w:val="0"/>
              <w:rPr>
                <w:rFonts w:hint="default"/>
              </w:rPr>
            </w:pPr>
            <w:r>
              <w:rPr>
                <w:rFonts w:hint="default"/>
                <w:lang w:val="en-US" w:eastAsia="zh-CN"/>
                <w:sz w:val="18"/>
                <w:szCs w:val="18"/>
              </w:rPr>
              <w:t xml:space="preserve">Wired communications</w:t>
            </w:r>
          </w:p>
        </w:tc>
        <w:tc>
          <w:tcPr>
            <w:tcW w:w="6060" w:type="dxa"/>
            <w:shd w:val="clear"/>
            <w:tcMar>
              <w:top w:w="150" w:type="dxa"/>
              <w:left w:w="240" w:type="dxa"/>
              <w:bottom w:w="150" w:type="dxa"/>
              <w:right w:w="0" w:type="dxa"/>
            </w:tcMar>
            <w:vAlign w:val="center"/>
          </w:tcPr>
          <w:p w14:paraId="7568AB71">
            <w:pPr>
              <w:bidi w:val="0"/>
              <w:rPr>
                <w:rFonts w:hint="default"/>
              </w:rPr>
            </w:pPr>
            <w:r>
              <w:rPr>
                <w:rFonts w:hint="default"/>
                <w:lang w:val="en-US" w:eastAsia="zh-CN"/>
                <w:sz w:val="18"/>
                <w:szCs w:val="18"/>
              </w:rPr>
              <w:t xml:space="preserve">USB-to-TTL, CH340 or CP2102, 5 V / 3.3 V dual voltage</w:t>
            </w:r>
          </w:p>
        </w:tc>
      </w:tr>
      <w:tr w14:paraId="6EBEC8DC">
        <w:trPr>
          <w:cantSplit/>
        </w:trPr>
        <w:tc>
          <w:tcPr>
            <w:tcW w:w="2960" w:type="dxa"/>
            <w:shd w:val="clear"/>
            <w:tcMar>
              <w:top w:w="150" w:type="dxa"/>
              <w:left w:w="0" w:type="dxa"/>
              <w:bottom w:w="150" w:type="dxa"/>
              <w:right w:w="240" w:type="dxa"/>
            </w:tcMar>
            <w:vAlign w:val="center"/>
          </w:tcPr>
          <w:p w14:paraId="22192C0A">
            <w:pPr>
              <w:bidi w:val="0"/>
              <w:rPr>
                <w:rFonts w:hint="default"/>
              </w:rPr>
            </w:pPr>
            <w:r>
              <w:rPr>
                <w:rFonts w:hint="default"/>
                <w:lang w:val="en-US" w:eastAsia="zh-CN"/>
                <w:sz w:val="18"/>
                <w:szCs w:val="18"/>
              </w:rPr>
              <w:t xml:space="preserve">Wireless communications (optional)</w:t>
            </w:r>
          </w:p>
        </w:tc>
        <w:tc>
          <w:tcPr>
            <w:tcW w:w="6060" w:type="dxa"/>
            <w:shd w:val="clear"/>
            <w:tcMar>
              <w:top w:w="150" w:type="dxa"/>
              <w:left w:w="240" w:type="dxa"/>
              <w:bottom w:w="150" w:type="dxa"/>
              <w:right w:w="0" w:type="dxa"/>
            </w:tcMar>
            <w:vAlign w:val="center"/>
          </w:tcPr>
          <w:p w14:paraId="7EC0609D">
            <w:pPr>
              <w:bidi w:val="0"/>
              <w:rPr>
                <w:rFonts w:hint="default"/>
              </w:rPr>
            </w:pPr>
            <w:r>
              <w:rPr>
                <w:rFonts w:hint="default"/>
                <w:lang w:val="en-US" w:eastAsia="zh-CN"/>
                <w:sz w:val="18"/>
                <w:szCs w:val="18"/>
              </w:rPr>
              <w:t xml:space="preserve">HC-05 Bluetooth module or ESP8266 Wi-Fi module</w:t>
            </w:r>
          </w:p>
        </w:tc>
      </w:tr>
      <w:tr w14:paraId="684C83CA">
        <w:trPr>
          <w:cantSplit/>
        </w:trPr>
        <w:tc>
          <w:tcPr>
            <w:tcW w:w="2960" w:type="dxa"/>
            <w:shd w:val="clear"/>
            <w:tcMar>
              <w:top w:w="150" w:type="dxa"/>
              <w:left w:w="0" w:type="dxa"/>
              <w:bottom w:w="150" w:type="dxa"/>
              <w:right w:w="240" w:type="dxa"/>
            </w:tcMar>
            <w:vAlign w:val="center"/>
          </w:tcPr>
          <w:p w14:paraId="48E1A6DD">
            <w:pPr>
              <w:bidi w:val="0"/>
              <w:rPr>
                <w:rFonts w:hint="default"/>
              </w:rPr>
            </w:pPr>
            <w:r>
              <w:rPr>
                <w:rFonts w:hint="default"/>
                <w:lang w:val="en-US" w:eastAsia="zh-CN"/>
                <w:sz w:val="18"/>
                <w:szCs w:val="18"/>
              </w:rPr>
              <w:t xml:space="preserve">Host software</w:t>
            </w:r>
          </w:p>
        </w:tc>
        <w:tc>
          <w:tcPr>
            <w:tcW w:w="6060" w:type="dxa"/>
            <w:shd w:val="clear"/>
            <w:tcMar>
              <w:top w:w="150" w:type="dxa"/>
              <w:left w:w="240" w:type="dxa"/>
              <w:bottom w:w="150" w:type="dxa"/>
              <w:right w:w="0" w:type="dxa"/>
            </w:tcMar>
            <w:vAlign w:val="center"/>
          </w:tcPr>
          <w:p w14:paraId="17654C19">
            <w:pPr>
              <w:bidi w:val="0"/>
              <w:rPr>
                <w:rFonts w:hint="default"/>
              </w:rPr>
            </w:pPr>
            <w:r>
              <w:rPr>
                <w:rFonts w:hint="default"/>
                <w:lang w:val="en-US" w:eastAsia="zh-CN"/>
                <w:sz w:val="18"/>
                <w:szCs w:val="18"/>
              </w:rPr>
              <w:t xml:space="preserve">Python + PyQt5 + PySerial, open source and free</w:t>
            </w:r>
          </w:p>
        </w:tc>
      </w:tr>
      <w:tr w14:paraId="534BB95C">
        <w:trPr>
          <w:cantSplit/>
        </w:trPr>
        <w:tc>
          <w:tcPr>
            <w:tcW w:w="2960" w:type="dxa"/>
            <w:shd w:val="clear"/>
            <w:tcMar>
              <w:top w:w="150" w:type="dxa"/>
              <w:left w:w="0" w:type="dxa"/>
              <w:bottom w:w="150" w:type="dxa"/>
              <w:right w:w="240" w:type="dxa"/>
            </w:tcMar>
            <w:vAlign w:val="center"/>
          </w:tcPr>
          <w:p w14:paraId="08975C2E">
            <w:pPr>
              <w:bidi w:val="0"/>
              <w:rPr>
                <w:rFonts w:hint="default"/>
              </w:rPr>
            </w:pPr>
            <w:r>
              <w:rPr>
                <w:rFonts w:hint="default"/>
                <w:lang w:val="en-US" w:eastAsia="zh-CN"/>
                <w:sz w:val="18"/>
                <w:szCs w:val="18"/>
              </w:rPr>
              <w:t xml:space="preserve">Functions</w:t>
            </w:r>
          </w:p>
        </w:tc>
        <w:tc>
          <w:tcPr>
            <w:tcW w:w="6060" w:type="dxa"/>
            <w:shd w:val="clear"/>
            <w:tcMar>
              <w:top w:w="150" w:type="dxa"/>
              <w:left w:w="240" w:type="dxa"/>
              <w:bottom w:w="150" w:type="dxa"/>
              <w:right w:w="0" w:type="dxa"/>
            </w:tcMar>
            <w:vAlign w:val="center"/>
          </w:tcPr>
          <w:p w14:paraId="767C3E93">
            <w:pPr>
              <w:bidi w:val="0"/>
              <w:rPr>
                <w:rFonts w:hint="default"/>
              </w:rPr>
            </w:pPr>
            <w:r>
              <w:rPr>
                <w:rFonts w:hint="default"/>
                <w:lang w:val="en-US" w:eastAsia="zh-CN"/>
                <w:sz w:val="18"/>
                <w:szCs w:val="18"/>
              </w:rPr>
              <w:t xml:space="preserve">Real-time display of temperature and fluorescence intensity curves; export to Excel</w:t>
            </w:r>
          </w:p>
        </w:tc>
      </w:tr>
      <w:tr w14:paraId="1F205D9E">
        <w:trPr>
          <w:cantSplit/>
        </w:trPr>
        <w:tc>
          <w:tcPr>
            <w:tcW w:w="2960" w:type="dxa"/>
            <w:shd w:val="clear"/>
            <w:tcMar>
              <w:top w:w="150" w:type="dxa"/>
              <w:left w:w="0" w:type="dxa"/>
              <w:bottom w:w="150" w:type="dxa"/>
              <w:right w:w="240" w:type="dxa"/>
            </w:tcMar>
            <w:vAlign w:val="center"/>
          </w:tcPr>
          <w:p w14:paraId="1FEE15CA">
            <w:pPr>
              <w:bidi w:val="0"/>
              <w:rPr>
                <w:rFonts w:hint="default"/>
              </w:rPr>
            </w:pPr>
            <w:r>
              <w:rPr>
                <w:rFonts w:hint="default"/>
                <w:lang w:val="en-US" w:eastAsia="zh-CN"/>
                <w:sz w:val="18"/>
                <w:szCs w:val="18"/>
              </w:rPr>
              <w:t xml:space="preserve">Protocol</w:t>
            </w:r>
          </w:p>
        </w:tc>
        <w:tc>
          <w:tcPr>
            <w:tcW w:w="6060" w:type="dxa"/>
            <w:shd w:val="clear"/>
            <w:tcMar>
              <w:top w:w="150" w:type="dxa"/>
              <w:left w:w="240" w:type="dxa"/>
              <w:bottom w:w="150" w:type="dxa"/>
              <w:right w:w="0" w:type="dxa"/>
            </w:tcMar>
            <w:vAlign w:val="center"/>
          </w:tcPr>
          <w:p w14:paraId="71BF9A71">
            <w:pPr>
              <w:bidi w:val="0"/>
              <w:rPr>
                <w:rFonts w:hint="default"/>
              </w:rPr>
            </w:pPr>
            <w:r>
              <w:rPr>
                <w:rFonts w:hint="default"/>
                <w:lang w:val="en-US" w:eastAsia="zh-CN"/>
                <w:sz w:val="18"/>
                <w:szCs w:val="18"/>
              </w:rPr>
              <w:t xml:space="preserve">Custom serial protocol covering temperature setting, optical signal readout and status queries</w:t>
            </w:r>
          </w:p>
        </w:tc>
      </w:tr>
    </w:tbl>
    <w:p w14:paraId="2A9C6814">
      <w:pPr>
        <w:pStyle w:val="4"/>
        <w:bidi w:val="0"/>
        <w:jc w:val="left"/>
        <w:rPr>
          <w:rFonts w:hint="default"/>
        </w:rPr>
      </w:pPr>
      <w:r>
        <w:rPr>
          <w:rFonts w:hint="default"/>
        </w:rPr>
        <w:t xml:space="preserve">4.7　Power supply and auxiliary components</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05CAB81B">
        <w:trPr>
          <w:tblHeader/>
          <w:cantSplit/>
        </w:trPr>
        <w:tc>
          <w:tcPr>
            <w:tcW w:w="2960" w:type="dxa"/>
            <w:shd w:val="clear"/>
            <w:tcMar>
              <w:top w:w="150" w:type="dxa"/>
              <w:left w:w="0" w:type="dxa"/>
              <w:bottom w:w="150" w:type="dxa"/>
              <w:right w:w="240" w:type="dxa"/>
            </w:tcMar>
            <w:vAlign w:val="center"/>
          </w:tcPr>
          <w:p w14:paraId="01343589">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37B9118B">
            <w:pPr>
              <w:bidi w:val="0"/>
              <w:rPr>
                <w:rFonts w:hint="default"/>
              </w:rPr>
            </w:pPr>
            <w:r>
              <w:rPr>
                <w:rFonts w:hint="default"/>
                <w:lang w:val="en-US" w:eastAsia="zh-CN"/>
                <w:sz w:val="18"/>
                <w:szCs w:val="18"/>
              </w:rPr>
              <w:t xml:space="preserve">Requirement</w:t>
            </w:r>
          </w:p>
        </w:tc>
      </w:tr>
      <w:tr w14:paraId="43A6B4BE">
        <w:trPr>
          <w:cantSplit/>
        </w:trPr>
        <w:tc>
          <w:tcPr>
            <w:tcW w:w="2960" w:type="dxa"/>
            <w:shd w:val="clear"/>
            <w:tcMar>
              <w:top w:w="150" w:type="dxa"/>
              <w:left w:w="0" w:type="dxa"/>
              <w:bottom w:w="150" w:type="dxa"/>
              <w:right w:w="240" w:type="dxa"/>
            </w:tcMar>
            <w:vAlign w:val="center"/>
          </w:tcPr>
          <w:p w14:paraId="4CF9713D">
            <w:pPr>
              <w:bidi w:val="0"/>
              <w:rPr>
                <w:rFonts w:hint="default"/>
              </w:rPr>
            </w:pPr>
            <w:r>
              <w:rPr>
                <w:rFonts w:hint="default"/>
                <w:lang w:val="en-US" w:eastAsia="zh-CN"/>
                <w:sz w:val="18"/>
                <w:szCs w:val="18"/>
              </w:rPr>
              <w:t xml:space="preserve">Switching supply</w:t>
            </w:r>
          </w:p>
        </w:tc>
        <w:tc>
          <w:tcPr>
            <w:tcW w:w="6060" w:type="dxa"/>
            <w:shd w:val="clear"/>
            <w:tcMar>
              <w:top w:w="150" w:type="dxa"/>
              <w:left w:w="240" w:type="dxa"/>
              <w:bottom w:w="150" w:type="dxa"/>
              <w:right w:w="0" w:type="dxa"/>
            </w:tcMar>
            <w:vAlign w:val="center"/>
          </w:tcPr>
          <w:p w14:paraId="090DB555">
            <w:pPr>
              <w:bidi w:val="0"/>
              <w:rPr>
                <w:rFonts w:hint="default"/>
              </w:rPr>
            </w:pPr>
            <w:r>
              <w:rPr>
                <w:rFonts w:hint="default"/>
                <w:lang w:val="en-US" w:eastAsia="zh-CN"/>
                <w:sz w:val="18"/>
                <w:szCs w:val="18"/>
              </w:rPr>
              <w:t xml:space="preserve">24 V / 5 A (120 W) with an ON/OFF switch</w:t>
            </w:r>
          </w:p>
        </w:tc>
      </w:tr>
      <w:tr w14:paraId="1E0F8F64">
        <w:trPr>
          <w:cantSplit/>
        </w:trPr>
        <w:tc>
          <w:tcPr>
            <w:tcW w:w="2960" w:type="dxa"/>
            <w:shd w:val="clear"/>
            <w:tcMar>
              <w:top w:w="150" w:type="dxa"/>
              <w:left w:w="0" w:type="dxa"/>
              <w:bottom w:w="150" w:type="dxa"/>
              <w:right w:w="240" w:type="dxa"/>
            </w:tcMar>
            <w:vAlign w:val="center"/>
          </w:tcPr>
          <w:p w14:paraId="1F7141D9">
            <w:pPr>
              <w:bidi w:val="0"/>
              <w:rPr>
                <w:rFonts w:hint="default"/>
              </w:rPr>
            </w:pPr>
            <w:r>
              <w:rPr>
                <w:rFonts w:hint="default"/>
                <w:lang w:val="en-US" w:eastAsia="zh-CN"/>
                <w:sz w:val="18"/>
                <w:szCs w:val="18"/>
              </w:rPr>
              <w:t xml:space="preserve">Buck module</w:t>
            </w:r>
          </w:p>
        </w:tc>
        <w:tc>
          <w:tcPr>
            <w:tcW w:w="6060" w:type="dxa"/>
            <w:shd w:val="clear"/>
            <w:tcMar>
              <w:top w:w="150" w:type="dxa"/>
              <w:left w:w="240" w:type="dxa"/>
              <w:bottom w:w="150" w:type="dxa"/>
              <w:right w:w="0" w:type="dxa"/>
            </w:tcMar>
            <w:vAlign w:val="center"/>
          </w:tcPr>
          <w:p w14:paraId="0DF19A29">
            <w:pPr>
              <w:bidi w:val="0"/>
              <w:rPr>
                <w:rFonts w:hint="default"/>
              </w:rPr>
            </w:pPr>
            <w:r>
              <w:rPr>
                <w:rFonts w:hint="default"/>
                <w:lang w:val="en-US" w:eastAsia="zh-CN"/>
                <w:sz w:val="18"/>
                <w:szCs w:val="18"/>
              </w:rPr>
              <w:t xml:space="preserve">LM2596, 24 V to adjustable 5 V / 3.3 V</w:t>
            </w:r>
          </w:p>
        </w:tc>
      </w:tr>
      <w:tr w14:paraId="310ACD74">
        <w:trPr>
          <w:cantSplit/>
        </w:trPr>
        <w:tc>
          <w:tcPr>
            <w:tcW w:w="2960" w:type="dxa"/>
            <w:shd w:val="clear"/>
            <w:tcMar>
              <w:top w:w="150" w:type="dxa"/>
              <w:left w:w="0" w:type="dxa"/>
              <w:bottom w:w="150" w:type="dxa"/>
              <w:right w:w="240" w:type="dxa"/>
            </w:tcMar>
            <w:vAlign w:val="center"/>
          </w:tcPr>
          <w:p w14:paraId="69451A91">
            <w:pPr>
              <w:bidi w:val="0"/>
              <w:rPr>
                <w:rFonts w:hint="default"/>
              </w:rPr>
            </w:pPr>
            <w:r>
              <w:rPr>
                <w:rFonts w:hint="default"/>
                <w:lang w:val="en-US" w:eastAsia="zh-CN"/>
                <w:sz w:val="18"/>
                <w:szCs w:val="18"/>
              </w:rPr>
              <w:t xml:space="preserve">Circuit construction</w:t>
            </w:r>
          </w:p>
        </w:tc>
        <w:tc>
          <w:tcPr>
            <w:tcW w:w="6060" w:type="dxa"/>
            <w:shd w:val="clear"/>
            <w:tcMar>
              <w:top w:w="150" w:type="dxa"/>
              <w:left w:w="240" w:type="dxa"/>
              <w:bottom w:w="150" w:type="dxa"/>
              <w:right w:w="0" w:type="dxa"/>
            </w:tcMar>
            <w:vAlign w:val="center"/>
          </w:tcPr>
          <w:p w14:paraId="5AF17F86">
            <w:pPr>
              <w:bidi w:val="0"/>
              <w:rPr>
                <w:rFonts w:hint="default"/>
              </w:rPr>
            </w:pPr>
            <w:r>
              <w:rPr>
                <w:rFonts w:hint="default"/>
                <w:lang w:val="en-US" w:eastAsia="zh-CN"/>
                <w:sz w:val="18"/>
                <w:szCs w:val="18"/>
              </w:rPr>
              <w:t xml:space="preserve">830-hole breadboard or universal protoboard</w:t>
            </w:r>
          </w:p>
        </w:tc>
      </w:tr>
      <w:tr w14:paraId="0F34E709">
        <w:trPr>
          <w:cantSplit/>
        </w:trPr>
        <w:tc>
          <w:tcPr>
            <w:tcW w:w="2960" w:type="dxa"/>
            <w:shd w:val="clear"/>
            <w:tcMar>
              <w:top w:w="150" w:type="dxa"/>
              <w:left w:w="0" w:type="dxa"/>
              <w:bottom w:w="150" w:type="dxa"/>
              <w:right w:w="240" w:type="dxa"/>
            </w:tcMar>
            <w:vAlign w:val="center"/>
          </w:tcPr>
          <w:p w14:paraId="7DD80F60">
            <w:pPr>
              <w:bidi w:val="0"/>
              <w:rPr>
                <w:rFonts w:hint="default"/>
              </w:rPr>
            </w:pPr>
            <w:r>
              <w:rPr>
                <w:rFonts w:hint="default"/>
                <w:lang w:val="en-US" w:eastAsia="zh-CN"/>
                <w:sz w:val="18"/>
                <w:szCs w:val="18"/>
              </w:rPr>
              <w:t xml:space="preserve">Wiring</w:t>
            </w:r>
          </w:p>
        </w:tc>
        <w:tc>
          <w:tcPr>
            <w:tcW w:w="6060" w:type="dxa"/>
            <w:shd w:val="clear"/>
            <w:tcMar>
              <w:top w:w="150" w:type="dxa"/>
              <w:left w:w="240" w:type="dxa"/>
              <w:bottom w:w="150" w:type="dxa"/>
              <w:right w:w="0" w:type="dxa"/>
            </w:tcMar>
            <w:vAlign w:val="center"/>
          </w:tcPr>
          <w:p w14:paraId="00609B78">
            <w:pPr>
              <w:bidi w:val="0"/>
              <w:rPr>
                <w:rFonts w:hint="default"/>
              </w:rPr>
            </w:pPr>
            <w:r>
              <w:rPr>
                <w:rFonts w:hint="default"/>
                <w:lang w:val="en-US" w:eastAsia="zh-CN"/>
                <w:sz w:val="18"/>
                <w:szCs w:val="18"/>
              </w:rPr>
              <w:t xml:space="preserve">Dupont jumpers, male–male, male–female and female–female</w:t>
            </w:r>
          </w:p>
        </w:tc>
      </w:tr>
      <w:tr w14:paraId="433053F1">
        <w:trPr>
          <w:cantSplit/>
        </w:trPr>
        <w:tc>
          <w:tcPr>
            <w:tcW w:w="2960" w:type="dxa"/>
            <w:shd w:val="clear"/>
            <w:tcMar>
              <w:top w:w="150" w:type="dxa"/>
              <w:left w:w="0" w:type="dxa"/>
              <w:bottom w:w="150" w:type="dxa"/>
              <w:right w:w="240" w:type="dxa"/>
            </w:tcMar>
            <w:vAlign w:val="center"/>
          </w:tcPr>
          <w:p w14:paraId="305E25FD">
            <w:pPr>
              <w:bidi w:val="0"/>
              <w:rPr>
                <w:rFonts w:hint="default"/>
              </w:rPr>
            </w:pPr>
            <w:r>
              <w:rPr>
                <w:rFonts w:hint="default"/>
                <w:lang w:val="en-US" w:eastAsia="zh-CN"/>
                <w:sz w:val="18"/>
                <w:szCs w:val="18"/>
              </w:rPr>
              <w:t xml:space="preserve">Filtering</w:t>
            </w:r>
          </w:p>
        </w:tc>
        <w:tc>
          <w:tcPr>
            <w:tcW w:w="6060" w:type="dxa"/>
            <w:shd w:val="clear"/>
            <w:tcMar>
              <w:top w:w="150" w:type="dxa"/>
              <w:left w:w="240" w:type="dxa"/>
              <w:bottom w:w="150" w:type="dxa"/>
              <w:right w:w="0" w:type="dxa"/>
            </w:tcMar>
            <w:vAlign w:val="center"/>
          </w:tcPr>
          <w:p w14:paraId="217D66C3">
            <w:pPr>
              <w:bidi w:val="0"/>
              <w:rPr>
                <w:rFonts w:hint="default"/>
              </w:rPr>
            </w:pPr>
            <w:r>
              <w:rPr>
                <w:rFonts w:hint="default"/>
                <w:lang w:val="en-US" w:eastAsia="zh-CN"/>
                <w:sz w:val="18"/>
                <w:szCs w:val="18"/>
              </w:rPr>
              <w:t xml:space="preserve">Electrolytic capacitors 100 μF / 16 V, 10 μF / 50 V</w:t>
            </w:r>
          </w:p>
        </w:tc>
      </w:tr>
      <w:tr w14:paraId="18580DEE">
        <w:trPr>
          <w:cantSplit/>
        </w:trPr>
        <w:tc>
          <w:tcPr>
            <w:tcW w:w="2960" w:type="dxa"/>
            <w:shd w:val="clear"/>
            <w:tcMar>
              <w:top w:w="150" w:type="dxa"/>
              <w:left w:w="0" w:type="dxa"/>
              <w:bottom w:w="150" w:type="dxa"/>
              <w:right w:w="240" w:type="dxa"/>
            </w:tcMar>
            <w:vAlign w:val="center"/>
          </w:tcPr>
          <w:p w14:paraId="1FBBEA42">
            <w:pPr>
              <w:bidi w:val="0"/>
              <w:rPr>
                <w:rFonts w:hint="default"/>
              </w:rPr>
            </w:pPr>
            <w:r>
              <w:rPr>
                <w:rFonts w:hint="default"/>
                <w:lang w:val="en-US" w:eastAsia="zh-CN"/>
                <w:sz w:val="18"/>
                <w:szCs w:val="18"/>
              </w:rPr>
              <w:t xml:space="preserve">Resistors</w:t>
            </w:r>
          </w:p>
        </w:tc>
        <w:tc>
          <w:tcPr>
            <w:tcW w:w="6060" w:type="dxa"/>
            <w:shd w:val="clear"/>
            <w:tcMar>
              <w:top w:w="150" w:type="dxa"/>
              <w:left w:w="240" w:type="dxa"/>
              <w:bottom w:w="150" w:type="dxa"/>
              <w:right w:w="0" w:type="dxa"/>
            </w:tcMar>
            <w:vAlign w:val="center"/>
          </w:tcPr>
          <w:p w14:paraId="7A95B042">
            <w:pPr>
              <w:bidi w:val="0"/>
              <w:rPr>
                <w:rFonts w:hint="default"/>
              </w:rPr>
            </w:pPr>
            <w:r>
              <w:rPr>
                <w:rFonts w:hint="default"/>
                <w:lang w:val="en-US" w:eastAsia="zh-CN"/>
                <w:sz w:val="18"/>
                <w:szCs w:val="18"/>
              </w:rPr>
              <w:t xml:space="preserve">Common values such as 1 kΩ, 10 kΩ and 100 Ω</w:t>
            </w:r>
          </w:p>
        </w:tc>
      </w:tr>
      <w:tr w14:paraId="56290B04">
        <w:trPr>
          <w:cantSplit/>
        </w:trPr>
        <w:tc>
          <w:tcPr>
            <w:tcW w:w="2960" w:type="dxa"/>
            <w:shd w:val="clear"/>
            <w:tcMar>
              <w:top w:w="150" w:type="dxa"/>
              <w:left w:w="0" w:type="dxa"/>
              <w:bottom w:w="150" w:type="dxa"/>
              <w:right w:w="240" w:type="dxa"/>
            </w:tcMar>
            <w:vAlign w:val="center"/>
          </w:tcPr>
          <w:p w14:paraId="23F40E61">
            <w:pPr>
              <w:bidi w:val="0"/>
              <w:rPr>
                <w:rFonts w:hint="default"/>
              </w:rPr>
            </w:pPr>
            <w:r>
              <w:rPr>
                <w:rFonts w:hint="default"/>
                <w:lang w:val="en-US" w:eastAsia="zh-CN"/>
                <w:sz w:val="18"/>
                <w:szCs w:val="18"/>
              </w:rPr>
              <w:t xml:space="preserve">Indicators</w:t>
            </w:r>
          </w:p>
        </w:tc>
        <w:tc>
          <w:tcPr>
            <w:tcW w:w="6060" w:type="dxa"/>
            <w:shd w:val="clear"/>
            <w:tcMar>
              <w:top w:w="150" w:type="dxa"/>
              <w:left w:w="240" w:type="dxa"/>
              <w:bottom w:w="150" w:type="dxa"/>
              <w:right w:w="0" w:type="dxa"/>
            </w:tcMar>
            <w:vAlign w:val="center"/>
          </w:tcPr>
          <w:p w14:paraId="64024A04">
            <w:pPr>
              <w:bidi w:val="0"/>
              <w:rPr>
                <w:rFonts w:hint="default"/>
              </w:rPr>
            </w:pPr>
            <w:r>
              <w:rPr>
                <w:rFonts w:hint="default"/>
                <w:lang w:val="en-US" w:eastAsia="zh-CN"/>
                <w:sz w:val="18"/>
                <w:szCs w:val="18"/>
              </w:rPr>
              <w:t xml:space="preserve">5 mm red / green LEDs for power and run status</w:t>
            </w:r>
          </w:p>
        </w:tc>
      </w:tr>
      <w:tr w14:paraId="4F9C34F7">
        <w:trPr>
          <w:cantSplit/>
        </w:trPr>
        <w:tc>
          <w:tcPr>
            <w:tcW w:w="2960" w:type="dxa"/>
            <w:shd w:val="clear"/>
            <w:tcMar>
              <w:top w:w="150" w:type="dxa"/>
              <w:left w:w="0" w:type="dxa"/>
              <w:bottom w:w="150" w:type="dxa"/>
              <w:right w:w="240" w:type="dxa"/>
            </w:tcMar>
            <w:vAlign w:val="center"/>
          </w:tcPr>
          <w:p w14:paraId="0AC8CB22">
            <w:pPr>
              <w:bidi w:val="0"/>
              <w:rPr>
                <w:rFonts w:hint="default"/>
              </w:rPr>
            </w:pPr>
            <w:r>
              <w:rPr>
                <w:rFonts w:hint="default"/>
                <w:lang w:val="en-US" w:eastAsia="zh-CN"/>
                <w:sz w:val="18"/>
                <w:szCs w:val="18"/>
              </w:rPr>
              <w:t xml:space="preserve">Terminal blocks</w:t>
            </w:r>
          </w:p>
        </w:tc>
        <w:tc>
          <w:tcPr>
            <w:tcW w:w="6060" w:type="dxa"/>
            <w:shd w:val="clear"/>
            <w:tcMar>
              <w:top w:w="150" w:type="dxa"/>
              <w:left w:w="240" w:type="dxa"/>
              <w:bottom w:w="150" w:type="dxa"/>
              <w:right w:w="0" w:type="dxa"/>
            </w:tcMar>
            <w:vAlign w:val="center"/>
          </w:tcPr>
          <w:p w14:paraId="19C70718">
            <w:pPr>
              <w:bidi w:val="0"/>
              <w:rPr>
                <w:rFonts w:hint="default"/>
              </w:rPr>
            </w:pPr>
            <w:r>
              <w:rPr>
                <w:rFonts w:hint="default"/>
                <w:lang w:val="en-US" w:eastAsia="zh-CN"/>
                <w:sz w:val="18"/>
                <w:szCs w:val="18"/>
              </w:rPr>
              <w:t xml:space="preserve">2-way / 3-way PCB terminal blocks</w:t>
            </w:r>
          </w:p>
        </w:tc>
      </w:tr>
    </w:tbl>
    <w:p w14:paraId="76D313C5">
      <w:pPr>
        <w:pStyle w:val="4"/>
        <w:bidi w:val="0"/>
        <w:jc w:val="left"/>
        <w:rPr>
          <w:rFonts w:hint="default"/>
        </w:rPr>
      </w:pPr>
      <w:r>
        <w:rPr>
          <w:rFonts w:hint="default"/>
        </w:rPr>
        <w:t xml:space="preserve">4.8　Safety and biosafety</w:t>
      </w:r>
    </w:p>
    <w:p w14:paraId="17B82B57">
      <w:pPr>
        <w:bidi w:val="0"/>
      </w:pPr>
    </w:p>
    <w:p w14:paraId="4684C750">
      <w:pPr>
        <w:bidi w:val="0"/>
      </w:pPr>
      <w:r>
        <w:rPr>
          <w:rFonts w:hint="default"/>
        </w:rPr>
        <w:t xml:space="preserve">Electrical safety: complies with the general safety requirements of GB 9706.1 for medical electrical equipment.</w:t>
      </w:r>
    </w:p>
    <w:p w14:paraId="303396D5">
      <w:pPr>
        <w:bidi w:val="0"/>
      </w:pPr>
    </w:p>
    <w:p w14:paraId="2E8F5BA9">
      <w:pPr>
        <w:bidi w:val="0"/>
      </w:pPr>
    </w:p>
    <w:p w14:paraId="46835826">
      <w:pPr>
        <w:bidi w:val="0"/>
      </w:pPr>
      <w:r>
        <w:rPr>
          <w:rFonts w:hint="default"/>
        </w:rPr>
        <w:t xml:space="preserve">Over-temperature protection: dual protection by a hardware-level KSD9700 thermal cut-off and a software alarm.</w:t>
      </w:r>
    </w:p>
    <w:p w14:paraId="26202AEE">
      <w:pPr>
        <w:bidi w:val="0"/>
      </w:pPr>
    </w:p>
    <w:p w14:paraId="1DB8F2D3">
      <w:pPr>
        <w:bidi w:val="0"/>
      </w:pPr>
      <w:bookmarkStart w:id="0" w:name="_GoBack"/>
      <w:bookmarkEnd w:id="0"/>
    </w:p>
    <w:p w14:paraId="1E1B7CA4">
      <w:pPr>
        <w:bidi w:val="0"/>
      </w:pPr>
      <w:r>
        <w:rPr>
          <w:rFonts w:hint="default"/>
        </w:rPr>
        <w:t xml:space="preserve">Biosafety: work involving live virus must be carried out in a laboratory of the appropriate biosafety level, with operators wearing the corresponding protective equipment, in accordance with clause 4.5.4 of GB/T 38517-2020.</w:t>
      </w:r>
    </w:p>
    <w:p w14:paraId="4D3ADBAD">
      <w:pPr>
        <w:bidi w:val="0"/>
      </w:pPr>
    </w:p>
    <w:p w14:paraId="60AAC343">
      <w:pPr>
        <w:bidi w:val="0"/>
      </w:pPr>
    </w:p>
    <w:p w14:paraId="332D5A26">
      <w:pPr>
        <w:bidi w:val="0"/>
      </w:pPr>
      <w:r>
        <w:rPr>
          <w:rFonts w:hint="default"/>
        </w:rPr>
        <w:t xml:space="preserve">Sample handling: after sampling, liquid samples are stored and transported as required by clause 4.6.7 of GB/T 38517-2020 (0–10 °C, delivered for testing within 10 h).</w:t>
      </w:r>
    </w:p>
    <w:p w14:paraId="120DC8A5">
      <w:pPr>
        <w:bidi w:val="0"/>
      </w:pPr>
    </w:p>
    <w:p w14:paraId="348E3513">
      <w:pPr>
        <w:bidi w:val="0"/>
      </w:pPr>
    </w:p>
    <w:p w14:paraId="0F427993">
      <w:pPr>
        <w:bidi w:val="0"/>
      </w:pPr>
      <w:r>
        <w:rPr>
          <w:rFonts w:hint="default"/>
        </w:rPr>
        <w:t xml:space="preserve">Disinfection and sterilisation: the sampling head, the vessel and the operators’ hands are disinfected before and after sampling, in accordance with clause 4.5.5 of GB/T 38517-2020.</w:t>
      </w:r>
    </w:p>
    <w:p w14:paraId="660E366C">
      <w:pPr>
        <w:bidi w:val="0"/>
      </w:pPr>
    </w:p>
    <w:p w14:paraId="339F26D2">
      <w:pPr>
        <w:bidi w:val="0"/>
      </w:pPr>
    </w:p>
    <w:p w14:paraId="5B9702FC">
      <w:pPr>
        <w:bidi w:val="0"/>
      </w:pPr>
      <w:r>
        <w:rPr>
          <w:rFonts w:hint="default"/>
        </w:rPr>
        <w:t xml:space="preserve">Exhaust air: the exhaust must pass through HEPA H13 or higher-grade filtration to prevent aerosol leakage.</w:t>
      </w:r>
    </w:p>
    <w:p w14:paraId="5C5AB12F">
      <w:pPr>
        <w:bidi w:val="0"/>
      </w:pPr>
    </w:p>
    <w:p w14:paraId="58052C68">
      <w:pPr>
        <w:pStyle w:val="4"/>
        <w:bidi w:val="0"/>
        <w:jc w:val="left"/>
        <w:rPr>
          <w:rFonts w:hint="default"/>
        </w:rPr>
      </w:pPr>
      <w:r>
        <w:rPr>
          <w:rFonts w:hint="default"/>
        </w:rPr>
        <w:t xml:space="preserve">4.9　Software functions</w:t>
      </w:r>
    </w:p>
    <w:p w14:paraId="7C836CE8">
      <w:pPr>
        <w:bidi w:val="0"/>
      </w:pPr>
    </w:p>
    <w:p w14:paraId="6E481446">
      <w:pPr>
        <w:bidi w:val="0"/>
      </w:pPr>
      <w:r>
        <w:rPr>
          <w:rFonts w:hint="default"/>
        </w:rPr>
        <w:t xml:space="preserve">PID temperature control: the PWM output to the heating film is regulated to hold 30 ± 0.5 °C.</w:t>
      </w:r>
    </w:p>
    <w:p w14:paraId="6C716E5F">
      <w:pPr>
        <w:bidi w:val="0"/>
      </w:pPr>
    </w:p>
    <w:p w14:paraId="7F8968C0">
      <w:pPr>
        <w:bidi w:val="0"/>
      </w:pPr>
    </w:p>
    <w:p w14:paraId="5F15CED0">
      <w:pPr>
        <w:bidi w:val="0"/>
      </w:pPr>
      <w:r>
        <w:rPr>
          <w:rFonts w:hint="default"/>
        </w:rPr>
        <w:t xml:space="preserve">Multi-channel optical acquisition: the 485 nm LED is pulsed on a timer, the photodiode voltage is read and converted into fluorescence intensity.</w:t>
      </w:r>
    </w:p>
    <w:p w14:paraId="1F032FB0">
      <w:pPr>
        <w:bidi w:val="0"/>
      </w:pPr>
    </w:p>
    <w:p w14:paraId="127B9A38">
      <w:pPr>
        <w:bidi w:val="0"/>
      </w:pPr>
    </w:p>
    <w:p w14:paraId="1EA72C88">
      <w:pPr>
        <w:bidi w:val="0"/>
      </w:pPr>
      <w:r>
        <w:rPr>
          <w:rFonts w:hint="default"/>
        </w:rPr>
        <w:t xml:space="preserve">Serial protocol: the host computer can send the temperature set point and sampling time and read data back.</w:t>
      </w:r>
    </w:p>
    <w:p w14:paraId="66EC15E3">
      <w:pPr>
        <w:bidi w:val="0"/>
      </w:pPr>
    </w:p>
    <w:p w14:paraId="736E4790">
      <w:pPr>
        <w:bidi w:val="0"/>
      </w:pPr>
    </w:p>
    <w:p w14:paraId="684A54DC">
      <w:pPr>
        <w:bidi w:val="0"/>
      </w:pPr>
      <w:r>
        <w:rPr>
          <w:rFonts w:hint="default"/>
        </w:rPr>
        <w:t xml:space="preserve">Data display: a TFT screen shows the temperature, the fluorescence intensity curve and the countdown in real time.</w:t>
      </w:r>
    </w:p>
    <w:p w14:paraId="29D745B6">
      <w:pPr>
        <w:bidi w:val="0"/>
      </w:pPr>
    </w:p>
    <w:p w14:paraId="24843AE0">
      <w:pPr>
        <w:bidi w:val="0"/>
      </w:pPr>
    </w:p>
    <w:p w14:paraId="0984301D">
      <w:pPr>
        <w:bidi w:val="0"/>
      </w:pPr>
      <w:r>
        <w:rPr>
          <w:rFonts w:hint="default"/>
        </w:rPr>
        <w:t xml:space="preserve">Data export: the host computer can export the data in Excel format.</w:t>
      </w:r>
    </w:p>
    <w:p w14:paraId="0A4E8997">
      <w:pPr>
        <w:bidi w:val="0"/>
      </w:pPr>
    </w:p>
    <w:p w14:paraId="42349949">
      <w:pPr>
        <w:bidi w:val="0"/>
      </w:pPr>
    </w:p>
    <w:p w14:paraId="38235617">
      <w:pPr>
        <w:bidi w:val="0"/>
      </w:pPr>
      <w:r>
        <w:rPr>
          <w:rFonts w:hint="default"/>
        </w:rPr>
        <w:t xml:space="preserve">Alarms: a buzzer sounds and an error code is displayed on over-temperature, a blocked optical path or a communication fault.</w:t>
      </w:r>
    </w:p>
    <w:p w14:paraId="520B7738">
      <w:pPr>
        <w:bidi w:val="0"/>
      </w:pPr>
    </w:p>
    <w:p w14:paraId="38A78883">
      <w:pPr>
        <w:pStyle w:val="3"/>
        <w:bidi w:val="0"/>
        <w:jc w:val="left"/>
        <w:rPr>
          <w:rFonts w:hint="default"/>
        </w:rPr>
      </w:pPr>
      <w:r>
        <w:rPr>
          <w:rFonts w:hint="default"/>
        </w:rPr>
        <w:t xml:space="preserve">5　Test methods</w:t>
      </w:r>
    </w:p>
    <w:tbl>
      <w:tblPr>
        <w:tblW w:w="9020" w:type="dxa"/>
        <w:tblInd w:w="0" w:type="dxa"/>
        <w:tblBorders>
          <w:top w:val="single" w:sz="4" w:color="7F7F7F"/>
          <w:left w:val="single" w:sz="4" w:color="7F7F7F"/>
          <w:bottom w:val="single" w:sz="4" w:color="7F7F7F"/>
          <w:right w:val="single" w:sz="4" w:color="7F7F7F"/>
          <w:insideH w:val="single" w:sz="4" w:color="7F7F7F"/>
          <w:insideV w:val="single" w:sz="4" w:color="7F7F7F"/>
        </w:tblBorders>
        <w:shd w:val="clear"/>
        <w:tblLayout w:type="fixed"/>
        <w:tblCellMar>
          <w:top w:w="15" w:type="dxa"/>
          <w:left w:w="15" w:type="dxa"/>
          <w:bottom w:w="15" w:type="dxa"/>
          <w:right w:w="15" w:type="dxa"/>
        </w:tblCellMar>
      </w:tblPr>
      <w:tblGrid>
        <w:gridCol w:w="2960"/>
        <w:gridCol w:w="6060"/>
      </w:tblGrid>
      <w:tr w14:paraId="29F58617">
        <w:trPr>
          <w:tblHeader/>
          <w:cantSplit/>
        </w:trPr>
        <w:tc>
          <w:tcPr>
            <w:tcW w:w="2960" w:type="dxa"/>
            <w:shd w:val="clear"/>
            <w:tcMar>
              <w:top w:w="150" w:type="dxa"/>
              <w:left w:w="0" w:type="dxa"/>
              <w:bottom w:w="150" w:type="dxa"/>
              <w:right w:w="240" w:type="dxa"/>
            </w:tcMar>
            <w:vAlign w:val="center"/>
          </w:tcPr>
          <w:p w14:paraId="0EDFF622">
            <w:pPr>
              <w:bidi w:val="0"/>
              <w:rPr>
                <w:rFonts w:hint="default"/>
              </w:rPr>
            </w:pPr>
            <w:r>
              <w:rPr>
                <w:rFonts w:hint="default"/>
                <w:lang w:val="en-US" w:eastAsia="zh-CN"/>
                <w:sz w:val="18"/>
                <w:szCs w:val="18"/>
              </w:rPr>
              <w:t xml:space="preserve">Item</w:t>
            </w:r>
          </w:p>
        </w:tc>
        <w:tc>
          <w:tcPr>
            <w:tcW w:w="6060" w:type="dxa"/>
            <w:shd w:val="clear"/>
            <w:tcMar>
              <w:top w:w="150" w:type="dxa"/>
              <w:left w:w="240" w:type="dxa"/>
              <w:bottom w:w="150" w:type="dxa"/>
              <w:right w:w="240" w:type="dxa"/>
            </w:tcMar>
            <w:vAlign w:val="center"/>
          </w:tcPr>
          <w:p w14:paraId="4C319D32">
            <w:pPr>
              <w:bidi w:val="0"/>
              <w:rPr>
                <w:rFonts w:hint="default"/>
              </w:rPr>
            </w:pPr>
            <w:r>
              <w:rPr>
                <w:rFonts w:hint="default"/>
                <w:lang w:val="en-US" w:eastAsia="zh-CN"/>
                <w:sz w:val="18"/>
                <w:szCs w:val="18"/>
              </w:rPr>
              <w:t xml:space="preserve">Test method</w:t>
            </w:r>
          </w:p>
        </w:tc>
      </w:tr>
      <w:tr w14:paraId="0E6B6571">
        <w:trPr>
          <w:cantSplit/>
        </w:trPr>
        <w:tc>
          <w:tcPr>
            <w:tcW w:w="2960" w:type="dxa"/>
            <w:shd w:val="clear"/>
            <w:tcMar>
              <w:top w:w="150" w:type="dxa"/>
              <w:left w:w="0" w:type="dxa"/>
              <w:bottom w:w="150" w:type="dxa"/>
              <w:right w:w="240" w:type="dxa"/>
            </w:tcMar>
            <w:vAlign w:val="center"/>
          </w:tcPr>
          <w:p w14:paraId="4DF9E4C8">
            <w:pPr>
              <w:bidi w:val="0"/>
              <w:rPr>
                <w:rFonts w:hint="default"/>
              </w:rPr>
            </w:pPr>
            <w:r>
              <w:rPr>
                <w:rFonts w:hint="default"/>
                <w:lang w:val="en-US" w:eastAsia="zh-CN"/>
                <w:sz w:val="18"/>
                <w:szCs w:val="18"/>
              </w:rPr>
              <w:t xml:space="preserve">Temperature accuracy</w:t>
            </w:r>
          </w:p>
        </w:tc>
        <w:tc>
          <w:tcPr>
            <w:tcW w:w="6060" w:type="dxa"/>
            <w:shd w:val="clear"/>
            <w:tcMar>
              <w:top w:w="150" w:type="dxa"/>
              <w:left w:w="240" w:type="dxa"/>
              <w:bottom w:w="150" w:type="dxa"/>
              <w:right w:w="0" w:type="dxa"/>
            </w:tcMar>
            <w:vAlign w:val="center"/>
          </w:tcPr>
          <w:p w14:paraId="76FF3AC9">
            <w:pPr>
              <w:bidi w:val="0"/>
              <w:rPr>
                <w:rFonts w:hint="default"/>
              </w:rPr>
            </w:pPr>
            <w:r>
              <w:rPr>
                <w:rFonts w:hint="default"/>
                <w:lang w:val="en-US" w:eastAsia="zh-CN"/>
                <w:sz w:val="18"/>
                <w:szCs w:val="18"/>
              </w:rPr>
              <w:t xml:space="preserve">Set 30 °C; once stable, measure the block temperature with a calibrated thermometer; deviation ≤ ±0.5 °C</w:t>
            </w:r>
          </w:p>
        </w:tc>
      </w:tr>
      <w:tr w14:paraId="4A2641F8">
        <w:trPr>
          <w:cantSplit/>
        </w:trPr>
        <w:tc>
          <w:tcPr>
            <w:tcW w:w="2960" w:type="dxa"/>
            <w:shd w:val="clear"/>
            <w:tcMar>
              <w:top w:w="150" w:type="dxa"/>
              <w:left w:w="0" w:type="dxa"/>
              <w:bottom w:w="150" w:type="dxa"/>
              <w:right w:w="240" w:type="dxa"/>
            </w:tcMar>
            <w:vAlign w:val="center"/>
          </w:tcPr>
          <w:p w14:paraId="6064420F">
            <w:pPr>
              <w:bidi w:val="0"/>
              <w:rPr>
                <w:rFonts w:hint="default"/>
              </w:rPr>
            </w:pPr>
            <w:r>
              <w:rPr>
                <w:rFonts w:hint="default"/>
                <w:lang w:val="en-US" w:eastAsia="zh-CN"/>
                <w:sz w:val="18"/>
                <w:szCs w:val="18"/>
              </w:rPr>
              <w:t xml:space="preserve">Window transmittance</w:t>
            </w:r>
          </w:p>
        </w:tc>
        <w:tc>
          <w:tcPr>
            <w:tcW w:w="6060" w:type="dxa"/>
            <w:shd w:val="clear"/>
            <w:tcMar>
              <w:top w:w="150" w:type="dxa"/>
              <w:left w:w="240" w:type="dxa"/>
              <w:bottom w:w="150" w:type="dxa"/>
              <w:right w:w="0" w:type="dxa"/>
            </w:tcMar>
            <w:vAlign w:val="center"/>
          </w:tcPr>
          <w:p w14:paraId="54F486AA">
            <w:pPr>
              <w:bidi w:val="0"/>
              <w:rPr>
                <w:rFonts w:hint="default"/>
              </w:rPr>
            </w:pPr>
            <w:r>
              <w:rPr>
                <w:rFonts w:hint="default"/>
                <w:lang w:val="en-US" w:eastAsia="zh-CN"/>
                <w:sz w:val="18"/>
                <w:szCs w:val="18"/>
              </w:rPr>
              <w:t xml:space="preserve">Measure transmittance at 485 nm and 528 nm with a spectrophotometer; ≥ 90%</w:t>
            </w:r>
          </w:p>
        </w:tc>
      </w:tr>
      <w:tr w14:paraId="4F1C64C3">
        <w:trPr>
          <w:cantSplit/>
        </w:trPr>
        <w:tc>
          <w:tcPr>
            <w:tcW w:w="2960" w:type="dxa"/>
            <w:shd w:val="clear"/>
            <w:tcMar>
              <w:top w:w="150" w:type="dxa"/>
              <w:left w:w="0" w:type="dxa"/>
              <w:bottom w:w="150" w:type="dxa"/>
              <w:right w:w="240" w:type="dxa"/>
            </w:tcMar>
            <w:vAlign w:val="center"/>
          </w:tcPr>
          <w:p w14:paraId="4A085F5E">
            <w:pPr>
              <w:bidi w:val="0"/>
              <w:rPr>
                <w:rFonts w:hint="default"/>
              </w:rPr>
            </w:pPr>
            <w:r>
              <w:rPr>
                <w:rFonts w:hint="default"/>
                <w:lang w:val="en-US" w:eastAsia="zh-CN"/>
                <w:sz w:val="18"/>
                <w:szCs w:val="18"/>
              </w:rPr>
              <w:t xml:space="preserve">Window background fluorescence</w:t>
            </w:r>
          </w:p>
        </w:tc>
        <w:tc>
          <w:tcPr>
            <w:tcW w:w="6060" w:type="dxa"/>
            <w:shd w:val="clear"/>
            <w:tcMar>
              <w:top w:w="150" w:type="dxa"/>
              <w:left w:w="240" w:type="dxa"/>
              <w:bottom w:w="150" w:type="dxa"/>
              <w:right w:w="0" w:type="dxa"/>
            </w:tcMar>
            <w:vAlign w:val="center"/>
          </w:tcPr>
          <w:p w14:paraId="2553D5CA">
            <w:pPr>
              <w:bidi w:val="0"/>
              <w:rPr>
                <w:rFonts w:hint="default"/>
              </w:rPr>
            </w:pPr>
            <w:r>
              <w:rPr>
                <w:rFonts w:hint="default"/>
                <w:lang w:val="en-US" w:eastAsia="zh-CN"/>
                <w:sz w:val="18"/>
                <w:szCs w:val="18"/>
              </w:rPr>
              <w:t xml:space="preserve">Illuminate blank medium with the 485 nm LED and detect through the 528 nm filter; background signal ≤ 3 SD of the negative control</w:t>
            </w:r>
          </w:p>
        </w:tc>
      </w:tr>
      <w:tr w14:paraId="3B5C7ED0">
        <w:trPr>
          <w:cantSplit/>
        </w:trPr>
        <w:tc>
          <w:tcPr>
            <w:tcW w:w="2960" w:type="dxa"/>
            <w:shd w:val="clear"/>
            <w:tcMar>
              <w:top w:w="150" w:type="dxa"/>
              <w:left w:w="0" w:type="dxa"/>
              <w:bottom w:w="150" w:type="dxa"/>
              <w:right w:w="240" w:type="dxa"/>
            </w:tcMar>
            <w:vAlign w:val="center"/>
          </w:tcPr>
          <w:p w14:paraId="00B86F14">
            <w:pPr>
              <w:bidi w:val="0"/>
              <w:rPr>
                <w:rFonts w:hint="default"/>
              </w:rPr>
            </w:pPr>
            <w:r>
              <w:rPr>
                <w:rFonts w:hint="default"/>
                <w:lang w:val="en-US" w:eastAsia="zh-CN"/>
                <w:sz w:val="18"/>
                <w:szCs w:val="18"/>
              </w:rPr>
              <w:t xml:space="preserve">Airtightness</w:t>
            </w:r>
          </w:p>
        </w:tc>
        <w:tc>
          <w:tcPr>
            <w:tcW w:w="6060" w:type="dxa"/>
            <w:shd w:val="clear"/>
            <w:tcMar>
              <w:top w:w="150" w:type="dxa"/>
              <w:left w:w="240" w:type="dxa"/>
              <w:bottom w:w="150" w:type="dxa"/>
              <w:right w:w="0" w:type="dxa"/>
            </w:tcMar>
            <w:vAlign w:val="center"/>
          </w:tcPr>
          <w:p w14:paraId="75CB951A">
            <w:pPr>
              <w:bidi w:val="0"/>
              <w:rPr>
                <w:rFonts w:hint="default"/>
              </w:rPr>
            </w:pPr>
            <w:r>
              <w:rPr>
                <w:rFonts w:hint="default"/>
                <w:lang w:val="en-US" w:eastAsia="zh-CN"/>
                <w:sz w:val="18"/>
                <w:szCs w:val="18"/>
              </w:rPr>
              <w:t xml:space="preserve">Pressurised to 0.05 MPa, held for 30 s, no bubble leakage</w:t>
            </w:r>
          </w:p>
        </w:tc>
      </w:tr>
      <w:tr w14:paraId="49A08EC2">
        <w:trPr>
          <w:cantSplit/>
        </w:trPr>
        <w:tc>
          <w:tcPr>
            <w:tcW w:w="2960" w:type="dxa"/>
            <w:shd w:val="clear"/>
            <w:tcMar>
              <w:top w:w="150" w:type="dxa"/>
              <w:left w:w="0" w:type="dxa"/>
              <w:bottom w:w="150" w:type="dxa"/>
              <w:right w:w="240" w:type="dxa"/>
            </w:tcMar>
            <w:vAlign w:val="center"/>
          </w:tcPr>
          <w:p w14:paraId="6AA8509B">
            <w:pPr>
              <w:bidi w:val="0"/>
              <w:rPr>
                <w:rFonts w:hint="default"/>
              </w:rPr>
            </w:pPr>
            <w:r>
              <w:rPr>
                <w:rFonts w:hint="default"/>
                <w:lang w:val="en-US" w:eastAsia="zh-CN"/>
                <w:sz w:val="18"/>
                <w:szCs w:val="18"/>
              </w:rPr>
              <w:t xml:space="preserve">Thread gauges</w:t>
            </w:r>
          </w:p>
        </w:tc>
        <w:tc>
          <w:tcPr>
            <w:tcW w:w="6060" w:type="dxa"/>
            <w:shd w:val="clear"/>
            <w:tcMar>
              <w:top w:w="150" w:type="dxa"/>
              <w:left w:w="240" w:type="dxa"/>
              <w:bottom w:w="150" w:type="dxa"/>
              <w:right w:w="0" w:type="dxa"/>
            </w:tcMar>
            <w:vAlign w:val="center"/>
          </w:tcPr>
          <w:p w14:paraId="5032C517">
            <w:pPr>
              <w:bidi w:val="0"/>
              <w:rPr>
                <w:rFonts w:hint="default"/>
              </w:rPr>
            </w:pPr>
            <w:r>
              <w:rPr>
                <w:rFonts w:hint="default"/>
                <w:lang w:val="en-US" w:eastAsia="zh-CN"/>
                <w:sz w:val="18"/>
                <w:szCs w:val="18"/>
              </w:rPr>
              <w:t xml:space="preserve">Checked with M28×1.5-6g go/no-go gauges</w:t>
            </w:r>
          </w:p>
        </w:tc>
      </w:tr>
      <w:tr w14:paraId="34B64379">
        <w:trPr>
          <w:cantSplit/>
        </w:trPr>
        <w:tc>
          <w:tcPr>
            <w:tcW w:w="2960" w:type="dxa"/>
            <w:shd w:val="clear"/>
            <w:tcMar>
              <w:top w:w="150" w:type="dxa"/>
              <w:left w:w="0" w:type="dxa"/>
              <w:bottom w:w="150" w:type="dxa"/>
              <w:right w:w="240" w:type="dxa"/>
            </w:tcMar>
            <w:vAlign w:val="center"/>
          </w:tcPr>
          <w:p w14:paraId="3EB37938">
            <w:pPr>
              <w:bidi w:val="0"/>
              <w:rPr>
                <w:rFonts w:hint="default"/>
              </w:rPr>
            </w:pPr>
            <w:r>
              <w:rPr>
                <w:rFonts w:hint="default"/>
                <w:lang w:val="en-US" w:eastAsia="zh-CN"/>
                <w:sz w:val="18"/>
                <w:szCs w:val="18"/>
              </w:rPr>
              <w:t xml:space="preserve">Sampling flow rate</w:t>
            </w:r>
          </w:p>
        </w:tc>
        <w:tc>
          <w:tcPr>
            <w:tcW w:w="6060" w:type="dxa"/>
            <w:shd w:val="clear"/>
            <w:tcMar>
              <w:top w:w="150" w:type="dxa"/>
              <w:left w:w="240" w:type="dxa"/>
              <w:bottom w:w="150" w:type="dxa"/>
              <w:right w:w="0" w:type="dxa"/>
            </w:tcMar>
            <w:vAlign w:val="center"/>
          </w:tcPr>
          <w:p w14:paraId="0DED85BE">
            <w:pPr>
              <w:bidi w:val="0"/>
              <w:rPr>
                <w:rFonts w:hint="default"/>
              </w:rPr>
            </w:pPr>
            <w:r>
              <w:rPr>
                <w:rFonts w:hint="default"/>
                <w:lang w:val="en-US" w:eastAsia="zh-CN"/>
                <w:sz w:val="18"/>
                <w:szCs w:val="18"/>
              </w:rPr>
              <w:t xml:space="preserve">Calibrated with a flow meter; error ≤ ±5%</w:t>
            </w:r>
          </w:p>
        </w:tc>
      </w:tr>
      <w:tr w14:paraId="3178F5AC">
        <w:trPr>
          <w:cantSplit/>
        </w:trPr>
        <w:tc>
          <w:tcPr>
            <w:tcW w:w="2960" w:type="dxa"/>
            <w:shd w:val="clear"/>
            <w:tcMar>
              <w:top w:w="150" w:type="dxa"/>
              <w:left w:w="0" w:type="dxa"/>
              <w:bottom w:w="150" w:type="dxa"/>
              <w:right w:w="240" w:type="dxa"/>
            </w:tcMar>
            <w:vAlign w:val="center"/>
          </w:tcPr>
          <w:p w14:paraId="1E106AB1">
            <w:pPr>
              <w:bidi w:val="0"/>
              <w:rPr>
                <w:rFonts w:hint="default"/>
              </w:rPr>
            </w:pPr>
            <w:r>
              <w:rPr>
                <w:rFonts w:hint="default"/>
                <w:lang w:val="en-US" w:eastAsia="zh-CN"/>
                <w:sz w:val="18"/>
                <w:szCs w:val="18"/>
              </w:rPr>
              <w:t xml:space="preserve">Detection sensitivity</w:t>
            </w:r>
          </w:p>
        </w:tc>
        <w:tc>
          <w:tcPr>
            <w:tcW w:w="6060" w:type="dxa"/>
            <w:shd w:val="clear"/>
            <w:tcMar>
              <w:top w:w="150" w:type="dxa"/>
              <w:left w:w="240" w:type="dxa"/>
              <w:bottom w:w="150" w:type="dxa"/>
              <w:right w:w="0" w:type="dxa"/>
            </w:tcMar>
            <w:vAlign w:val="center"/>
          </w:tcPr>
          <w:p w14:paraId="59A5DE08">
            <w:pPr>
              <w:bidi w:val="0"/>
              <w:rPr>
                <w:rFonts w:hint="default"/>
              </w:rPr>
            </w:pPr>
            <w:r>
              <w:rPr>
                <w:rFonts w:hint="default"/>
                <w:lang w:val="en-US" w:eastAsia="zh-CN"/>
                <w:sz w:val="18"/>
                <w:szCs w:val="18"/>
              </w:rPr>
              <w:t xml:space="preserve">Test with known concentrations of HA protein or virus samples to establish the limit of detection</w:t>
            </w:r>
          </w:p>
        </w:tc>
      </w:tr>
      <w:tr w14:paraId="3B882F25">
        <w:trPr>
          <w:cantSplit/>
        </w:trPr>
        <w:tc>
          <w:tcPr>
            <w:tcW w:w="2960" w:type="dxa"/>
            <w:shd w:val="clear"/>
            <w:tcMar>
              <w:top w:w="150" w:type="dxa"/>
              <w:left w:w="0" w:type="dxa"/>
              <w:bottom w:w="150" w:type="dxa"/>
              <w:right w:w="240" w:type="dxa"/>
            </w:tcMar>
            <w:vAlign w:val="center"/>
          </w:tcPr>
          <w:p w14:paraId="3C4DFA6F">
            <w:pPr>
              <w:bidi w:val="0"/>
              <w:rPr>
                <w:rFonts w:hint="default"/>
              </w:rPr>
            </w:pPr>
            <w:r>
              <w:rPr>
                <w:rFonts w:hint="default"/>
                <w:lang w:val="en-US" w:eastAsia="zh-CN"/>
                <w:sz w:val="18"/>
                <w:szCs w:val="18"/>
              </w:rPr>
              <w:t xml:space="preserve">Biocompatibility</w:t>
            </w:r>
          </w:p>
        </w:tc>
        <w:tc>
          <w:tcPr>
            <w:tcW w:w="6060" w:type="dxa"/>
            <w:shd w:val="clear"/>
            <w:tcMar>
              <w:top w:w="150" w:type="dxa"/>
              <w:left w:w="240" w:type="dxa"/>
              <w:bottom w:w="150" w:type="dxa"/>
              <w:right w:w="0" w:type="dxa"/>
            </w:tcMar>
            <w:vAlign w:val="center"/>
          </w:tcPr>
          <w:p w14:paraId="5DD4C2A3">
            <w:pPr>
              <w:bidi w:val="0"/>
              <w:rPr>
                <w:rFonts w:hint="default"/>
              </w:rPr>
            </w:pPr>
            <w:r>
              <w:rPr>
                <w:rFonts w:hint="default"/>
                <w:lang w:val="en-US" w:eastAsia="zh-CN"/>
                <w:sz w:val="18"/>
                <w:szCs w:val="18"/>
              </w:rPr>
              <w:t xml:space="preserve">Tested to ISO 10993 or USP Class VI</w:t>
            </w:r>
          </w:p>
        </w:tc>
      </w:tr>
    </w:tbl>
    <w:p w14:paraId="21E765F2">
      <w:pPr>
        <w:pStyle w:val="3"/>
        <w:bidi w:val="0"/>
        <w:jc w:val="left"/>
        <w:rPr>
          <w:rFonts w:hint="default"/>
        </w:rPr>
      </w:pPr>
      <w:r>
        <w:rPr>
          <w:rFonts w:hint="default"/>
        </w:rPr>
        <w:t xml:space="preserve">6　Inspection rules</w:t>
      </w:r>
    </w:p>
    <w:p w14:paraId="6DE4AEB5">
      <w:pPr>
        <w:bidi w:val="0"/>
      </w:pPr>
    </w:p>
    <w:p w14:paraId="4CF2C3B7">
      <w:pPr>
        <w:bidi w:val="0"/>
      </w:pPr>
      <w:r>
        <w:rPr>
          <w:rFonts w:hint="default"/>
        </w:rPr>
        <w:t xml:space="preserve">First-article inspection: the first article of each batch requires dimensional, transmittance, airtightness and biocompatibility test reports.</w:t>
      </w:r>
    </w:p>
    <w:p w14:paraId="68DD04AA">
      <w:pPr>
        <w:bidi w:val="0"/>
      </w:pPr>
    </w:p>
    <w:p w14:paraId="3CF37FE9">
      <w:pPr>
        <w:bidi w:val="0"/>
      </w:pPr>
    </w:p>
    <w:p w14:paraId="2381D816">
      <w:pPr>
        <w:bidi w:val="0"/>
      </w:pPr>
      <w:r>
        <w:rPr>
          <w:rFonts w:hint="default"/>
        </w:rPr>
        <w:t xml:space="preserve">Factory inspection: every unit is checked for temperature accuracy, optical background, airtightness and thread gauge fit.</w:t>
      </w:r>
    </w:p>
    <w:p w14:paraId="109ED40E">
      <w:pPr>
        <w:bidi w:val="0"/>
      </w:pPr>
    </w:p>
    <w:p w14:paraId="6B379FFD">
      <w:pPr>
        <w:bidi w:val="0"/>
      </w:pPr>
    </w:p>
    <w:p w14:paraId="53AE66AA">
      <w:pPr>
        <w:bidi w:val="0"/>
      </w:pPr>
      <w:r>
        <w:rPr>
          <w:rFonts w:hint="default"/>
        </w:rPr>
        <w:t xml:space="preserve">Type inspection: the full set of tests is carried out when a new product is finalised or the design is changed.</w:t>
      </w:r>
    </w:p>
    <w:p w14:paraId="51C248FD">
      <w:pPr>
        <w:bidi w:val="0"/>
      </w:pPr>
    </w:p>
    <w:p w14:paraId="39C06486">
      <w:pPr>
        <w:pStyle w:val="4"/>
        <w:bidi w:val="0"/>
        <w:rPr>
          <w:rFonts w:hint="default"/>
        </w:rPr>
      </w:pPr>
      <w:r>
        <w:rPr>
          <w:rFonts w:hint="default"/>
        </w:rPr>
        <w:t xml:space="preserve">7　Marking, packaging, transport and storage</w:t>
      </w:r>
    </w:p>
    <w:p w14:paraId="02FD69D3">
      <w:pPr>
        <w:bidi w:val="0"/>
      </w:pPr>
    </w:p>
    <w:p w14:paraId="5783BBC4">
      <w:pPr>
        <w:bidi w:val="0"/>
      </w:pPr>
      <w:r>
        <w:rPr>
          <w:rFonts w:hint="default"/>
        </w:rPr>
        <w:t xml:space="preserve">Marking: the nameplate gives the model, name, power supply, manufacturer and date of manufacture.</w:t>
      </w:r>
    </w:p>
    <w:p w14:paraId="0D810D6A">
      <w:pPr>
        <w:bidi w:val="0"/>
      </w:pPr>
    </w:p>
    <w:p w14:paraId="11294A06">
      <w:pPr>
        <w:bidi w:val="0"/>
      </w:pPr>
    </w:p>
    <w:p w14:paraId="366FC2D4">
      <w:pPr>
        <w:bidi w:val="0"/>
      </w:pPr>
      <w:r>
        <w:rPr>
          <w:rFonts w:hint="default"/>
        </w:rPr>
        <w:t xml:space="preserve">Packaging: optical surfaces are covered with protective film and packed separately, protected against dust, scratches and static; the certificate of conformity, material certificates and inspection reports are enclosed.</w:t>
      </w:r>
    </w:p>
    <w:p w14:paraId="1AC00873">
      <w:pPr>
        <w:bidi w:val="0"/>
      </w:pPr>
    </w:p>
    <w:p w14:paraId="20BAF3F8">
      <w:pPr>
        <w:bidi w:val="0"/>
      </w:pPr>
    </w:p>
    <w:p w14:paraId="7C890B77">
      <w:pPr>
        <w:bidi w:val="0"/>
      </w:pPr>
      <w:r>
        <w:rPr>
          <w:rFonts w:hint="default"/>
        </w:rPr>
        <w:t xml:space="preserve">Transport: avoid high temperature, moisture and severe vibration.</w:t>
      </w:r>
    </w:p>
    <w:p w14:paraId="4334EFA7">
      <w:pPr>
        <w:bidi w:val="0"/>
      </w:pPr>
    </w:p>
    <w:p w14:paraId="2BE24D72">
      <w:pPr>
        <w:bidi w:val="0"/>
      </w:pPr>
    </w:p>
    <w:p w14:paraId="6F4132AA">
      <w:pPr>
        <w:bidi w:val="0"/>
      </w:pPr>
      <w:r>
        <w:rPr>
          <w:rFonts w:hint="default"/>
        </w:rPr>
        <w:t xml:space="preserve">Storage: ambient temperature 0–40 °C, relative humidity ≤ 80%, no corrosive gases.</w:t>
      </w:r>
    </w:p>
    <w:p w14:paraId="4AF10D12">
      <w:pPr>
        <w:bidi w:val="0"/>
      </w:pPr>
    </w:p>
    <w:p w14:paraId="7348090B">
      <w:pPr>
        <w:pStyle w:val="3"/>
        <w:bidi w:val="0"/>
        <w:jc w:val="left"/>
        <w:rPr>
          <w:rFonts w:hint="default"/>
        </w:rPr>
      </w:pPr>
      <w:r>
        <w:rPr>
          <w:rFonts w:hint="default"/>
          <w:lang w:val="en-US" w:eastAsia="zh-CN"/>
        </w:rPr>
        <w:t xml:space="preserve">8　Notes</w:t>
      </w:r>
      <w:r>
        <w:rPr>
          <w:rFonts w:hint="default"/>
        </w:rPr>
        <w:t xml:space="preserve"/>
      </w:r>
    </w:p>
    <w:p w14:paraId="23DAAFEE">
      <w:pPr>
        <w:bidi w:val="0"/>
      </w:pPr>
    </w:p>
    <w:p w14:paraId="1801AE98">
      <w:pPr>
        <w:bidi w:val="0"/>
      </w:pPr>
      <w:r>
        <w:rPr>
          <w:rFonts w:hint="default"/>
        </w:rPr>
        <w:t xml:space="preserve">The instrument is used either as a plug-in module for a cyclone bioaerosol sampler or as a stand-alone device.</w:t>
      </w:r>
    </w:p>
    <w:p w14:paraId="4C07639F">
      <w:pPr>
        <w:bidi w:val="0"/>
      </w:pPr>
    </w:p>
    <w:p w14:paraId="02BA91DE">
      <w:pPr>
        <w:bidi w:val="0"/>
      </w:pPr>
    </w:p>
    <w:p w14:paraId="213FDAEB">
      <w:pPr>
        <w:bidi w:val="0"/>
      </w:pPr>
      <w:r>
        <w:rPr>
          <w:rFonts w:hint="default"/>
        </w:rPr>
        <w:t xml:space="preserve">If used as a plug-in module of an air disinfection unit, it must additionally meet WS 648-2019 and match the airflow of the host unit.</w:t>
      </w:r>
    </w:p>
    <w:p w14:paraId="4AB0DF90">
      <w:pPr>
        <w:bidi w:val="0"/>
      </w:pPr>
    </w:p>
    <w:p w14:paraId="396987B5">
      <w:pPr>
        <w:bidi w:val="0"/>
      </w:pPr>
    </w:p>
    <w:p w14:paraId="7048042D">
      <w:pPr>
        <w:bidi w:val="0"/>
      </w:pPr>
      <w:r>
        <w:rPr>
          <w:rFonts w:hint="default"/>
        </w:rPr>
        <w:t xml:space="preserve">All unspecified tolerances per GB/T 1804-m; unspecified fillets R0.5, unspecified chamfers C0.5.</w:t>
      </w:r>
    </w:p>
    <w:p w14:paraId="17289B70">
      <w:pPr>
        <w:bidi w:val="0"/>
      </w:pPr>
    </w:p>
    <w:p w14:paraId="19837C8D">
      <w:pPr>
        <w:bidi w:val="0"/>
      </w:pPr>
    </w:p>
    <w:p w14:paraId="298CBC40">
      <w:pPr>
        <w:bidi w:val="0"/>
      </w:pPr>
      <w:r>
        <w:rPr>
          <w:rFonts w:hint="default"/>
        </w:rPr>
        <w:t xml:space="preserve">The inlet vessel has two optical windows set at 90° to each other, shown in the rotated section A-A; in manufacture the two windows are 90° apart.</w:t>
      </w:r>
    </w:p>
    <w:p w14:paraId="6B5E1056">
      <w:pPr>
        <w:bidi w:val="0"/>
      </w:pPr>
    </w:p>
    <w:p w14:paraId="4C48FF4A">
      <w:pPr>
        <w:bidi w:val="0"/>
      </w:pPr>
    </w:p>
    <w:p w14:paraId="009F2E92">
      <w:pPr>
        <w:bidi w:val="0"/>
      </w:pPr>
      <w:r>
        <w:rPr>
          <w:rFonts w:hint="default"/>
        </w:rPr>
        <w:t xml:space="preserve">The enclosure is 3D printed; the material must meet the requirements for light tightness, heat dissipation, flame retardancy and structural strength.</w:t>
      </w:r>
    </w:p>
    <w:p w14:paraId="568C2363">
      <w:pPr>
        <w:bidi w:val="0"/>
      </w:pPr>
    </w:p>
    <w:p w14:paraId="1A2C5C31">
      <w:pPr>
        <w:bidi w:val="0"/>
      </w:pPr>
    </w:p>
    <w:p w14:paraId="393CE8FC">
      <w:pPr>
        <w:bidi w:val="0"/>
      </w:pPr>
      <w:r>
        <w:rPr>
          <w:rFonts w:hint="default"/>
        </w:rPr>
        <w:t xml:space="preserve">The firmware and hardware versions of the instrument must be compatible with the host computer; the protocol is given in the Communication Protocol Manual.</w:t>
      </w:r>
    </w:p>
    <w:p w14:paraId="1665C9B7">
      <w:pPr>
        <w:bidi w:val="0"/>
      </w:pPr>
    </w:p>
    <w:p w14:paraId="07B9584A">
      <w:pPr>
        <w:bidi w:val="0"/>
      </w:pPr>
    </w:p>
    <w:p w14:paraId="37E3F123">
      <w:pPr>
        <w:bidi w:val="0"/>
      </w:pPr>
      <w:r>
        <w:rPr>
          <w:rFonts w:hint="default"/>
        </w:rPr>
        <w:t xml:space="preserve">The “working volume”, “target analyte” and “response time” clauses of this specification reflect the latest experimental data: the working volume is 20 mL of liquid medium containing yeast, pre-loaded into the collection cup before sampling; the target analyte is the HA protein on the surface of influenza A virus (H1N1); and under ideal laboratory conditions a 528 nm fluorescence signal is detectable 5–15 minutes after the sample is added, while the response time of the complete instrument is to be verified experimentally.</w:t>
      </w:r>
    </w:p>
    <w:p w14:paraId="06F211B1">
      <w:pPr>
        <w:bidi w:val="0"/>
      </w:pPr>
    </w:p>
    <w:p w14:paraId="5F136292">
      <w:pPr>
        <w:bidi w:val="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