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AC26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firstLine="0"/>
        <w:rPr>
          <w:rFonts w:hint="default" w:ascii="Times New Roman" w:hAnsi="Times New Roman" w:eastAsia="Geist Fallback" w:cs="Times New Roman"/>
          <w:i w:val="0"/>
          <w:iCs w:val="0"/>
          <w:caps w:val="0"/>
          <w:spacing w:val="0"/>
          <w:sz w:val="45"/>
          <w:szCs w:val="45"/>
        </w:rPr>
      </w:pPr>
      <w:r>
        <w:rPr>
          <w:rFonts w:hint="default" w:ascii="Times New Roman" w:hAnsi="Times New Roman" w:eastAsia="Geist Fallback" w:cs="Times New Roman"/>
          <w:i w:val="0"/>
          <w:iCs w:val="0"/>
          <w:caps w:val="0"/>
          <w:spacing w:val="0"/>
          <w:sz w:val="45"/>
          <w:szCs w:val="45"/>
        </w:rPr>
        <w:t>EchoYeast Description</w:t>
      </w:r>
    </w:p>
    <w:p w14:paraId="33E7A5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36"/>
          <w:szCs w:val="36"/>
        </w:rPr>
      </w:pPr>
      <w:r>
        <w:rPr>
          <w:rFonts w:hint="default" w:ascii="Times New Roman" w:hAnsi="Times New Roman" w:eastAsia="Geist Fallback" w:cs="Times New Roman"/>
          <w:i w:val="0"/>
          <w:iCs w:val="0"/>
          <w:caps w:val="0"/>
          <w:spacing w:val="0"/>
          <w:sz w:val="36"/>
          <w:szCs w:val="36"/>
        </w:rPr>
        <w:t>EchoYeast: Let Yeast Respond to Influenza Signals</w:t>
      </w:r>
    </w:p>
    <w:p w14:paraId="510F4A9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30"/>
          <w:szCs w:val="30"/>
        </w:rPr>
      </w:pPr>
      <w:r>
        <w:rPr>
          <w:rFonts w:hint="default" w:ascii="Times New Roman" w:hAnsi="Times New Roman" w:eastAsia="Geist Fallback" w:cs="Times New Roman"/>
          <w:i w:val="0"/>
          <w:iCs w:val="0"/>
          <w:caps w:val="0"/>
          <w:spacing w:val="0"/>
          <w:sz w:val="30"/>
          <w:szCs w:val="30"/>
        </w:rPr>
        <w:t>An engineered yeast biosensor for influenza A hemagglutinin recognition and environmental surveillance</w:t>
      </w:r>
    </w:p>
    <w:p w14:paraId="4FD75C7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b/>
          <w:bCs/>
          <w:i/>
          <w:iCs/>
          <w:caps w:val="0"/>
          <w:spacing w:val="0"/>
          <w:sz w:val="24"/>
          <w:szCs w:val="24"/>
        </w:rPr>
        <w:t>Can a living cell transform an invisible antigen-recognition event into a readable response?</w:t>
      </w:r>
    </w:p>
    <w:p w14:paraId="33A4D9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36"/>
          <w:szCs w:val="36"/>
        </w:rPr>
      </w:pPr>
      <w:r>
        <w:rPr>
          <w:rFonts w:hint="default" w:ascii="Times New Roman" w:hAnsi="Times New Roman" w:eastAsia="Geist Fallback" w:cs="Times New Roman"/>
          <w:i w:val="0"/>
          <w:iCs w:val="0"/>
          <w:caps w:val="0"/>
          <w:spacing w:val="0"/>
          <w:sz w:val="36"/>
          <w:szCs w:val="36"/>
        </w:rPr>
        <w:t>Abstract</w:t>
      </w:r>
    </w:p>
    <w:p w14:paraId="5136993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Seasonal influenza remains a global public-health challenge. The World Health Organization estimates that seasonal influenza causes approximately one billion cases, three to five million severe cases and 290,000–650,000 respiratory deaths worldwide each year. Influenza A and influenza B viruses both contribute to seasonal epidemics, while currently circulating human influenza A viruses include A(H1N1)pdm09 and A(H3N2). Most established influenza testing workflows are designed around clinical or laboratory samples collected from individuals.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"https://www.who.int/news-room/fact-sheets/detail/influenza-(seasonal)"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1</w:t>
      </w:r>
      <w:r>
        <w:rPr>
          <w:rFonts w:hint="default" w:ascii="Times New Roman" w:hAnsi="Times New Roman" w:eastAsia="Geist Fallback" w:cs="Times New Roman"/>
          <w:i w:val="0"/>
          <w:iCs w:val="0"/>
          <w:caps w:val="0"/>
          <w:spacing w:val="0"/>
          <w:sz w:val="24"/>
          <w:szCs w:val="24"/>
        </w:rPr>
        <w:fldChar w:fldCharType="end"/>
      </w:r>
      <w:r>
        <w:rPr>
          <w:rFonts w:hint="default" w:ascii="Times New Roman" w:hAnsi="Times New Roman" w:eastAsia="Geist Fallback" w:cs="Times New Roman"/>
          <w:i w:val="0"/>
          <w:iCs w:val="0"/>
          <w:caps w:val="0"/>
          <w:spacing w:val="0"/>
          <w:sz w:val="24"/>
          <w:szCs w:val="24"/>
        </w:rPr>
        <w:t xml:space="preserve"> </w:t>
      </w:r>
    </w:p>
    <w:p w14:paraId="7157965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EchoYeast explores a complementary question: </w:t>
      </w:r>
      <w:r>
        <w:rPr>
          <w:rFonts w:hint="default" w:ascii="Times New Roman" w:hAnsi="Times New Roman" w:eastAsia="Geist Fallback" w:cs="Times New Roman"/>
          <w:b/>
          <w:bCs/>
          <w:i w:val="0"/>
          <w:iCs w:val="0"/>
          <w:caps w:val="0"/>
          <w:spacing w:val="0"/>
          <w:sz w:val="24"/>
          <w:szCs w:val="24"/>
        </w:rPr>
        <w:t>can an engineered living cell recognize influenza A hemagglutinin (HA) and convert that recognition event into a measurable biological output?</w:t>
      </w:r>
    </w:p>
    <w:p w14:paraId="28F86FA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EchoYeast uses </w:t>
      </w:r>
      <w:r>
        <w:rPr>
          <w:rStyle w:val="9"/>
          <w:rFonts w:hint="default" w:ascii="Times New Roman" w:hAnsi="Times New Roman" w:eastAsia="Geist Fallback" w:cs="Times New Roman"/>
          <w:i w:val="0"/>
          <w:iCs w:val="0"/>
          <w:caps w:val="0"/>
          <w:spacing w:val="0"/>
          <w:sz w:val="24"/>
          <w:szCs w:val="24"/>
        </w:rPr>
        <w:t>Saccharomyces cerevisiae</w:t>
      </w:r>
      <w:r>
        <w:rPr>
          <w:rFonts w:hint="default" w:ascii="Times New Roman" w:hAnsi="Times New Roman" w:eastAsia="Geist Fallback" w:cs="Times New Roman"/>
          <w:i w:val="0"/>
          <w:iCs w:val="0"/>
          <w:caps w:val="0"/>
          <w:spacing w:val="0"/>
          <w:sz w:val="24"/>
          <w:szCs w:val="24"/>
        </w:rPr>
        <w:t xml:space="preserve"> BY4741 as an engineered chassis. The project combines an HA-recognizing nanobody, an antigen-gated GPCR-inspired receptor, a humanized G-protein coupling interface, the yeast pheromone-response MAPK pathway and a FUS1-driven reporter system.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"https://2026.igem.wiki/szpu-china/design"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Team Design</w:t>
      </w:r>
      <w:r>
        <w:rPr>
          <w:rFonts w:hint="default" w:ascii="Times New Roman" w:hAnsi="Times New Roman" w:eastAsia="Geist Fallback" w:cs="Times New Roman"/>
          <w:i w:val="0"/>
          <w:iCs w:val="0"/>
          <w:caps w:val="0"/>
          <w:spacing w:val="0"/>
          <w:sz w:val="24"/>
          <w:szCs w:val="24"/>
        </w:rPr>
        <w:fldChar w:fldCharType="end"/>
      </w:r>
    </w:p>
    <w:p w14:paraId="5EAA2A4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p>
    <w:p w14:paraId="6288002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Times New Roman" w:hAnsi="Times New Roman" w:eastAsia="宋体" w:cs="Times New Roman"/>
          <w:i w:val="0"/>
          <w:iCs w:val="0"/>
          <w:caps w:val="0"/>
          <w:spacing w:val="0"/>
          <w:sz w:val="24"/>
          <w:szCs w:val="24"/>
          <w:lang w:eastAsia="zh-CN"/>
        </w:rPr>
      </w:pPr>
      <w:r>
        <w:rPr>
          <w:rFonts w:hint="eastAsia" w:ascii="Times New Roman" w:hAnsi="Times New Roman" w:eastAsia="宋体" w:cs="Times New Roman"/>
          <w:i w:val="0"/>
          <w:iCs w:val="0"/>
          <w:caps w:val="0"/>
          <w:spacing w:val="0"/>
          <w:sz w:val="24"/>
          <w:szCs w:val="24"/>
          <w:lang w:eastAsia="zh-CN"/>
        </w:rPr>
        <w:drawing>
          <wp:inline distT="0" distB="0" distL="114300" distR="114300">
            <wp:extent cx="5267325" cy="2964815"/>
            <wp:effectExtent l="0" t="0" r="0" b="6985"/>
            <wp:docPr id="1" name="图片 1" descr="cc6adc04b25b40c9f69f0c9ef9117b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c6adc04b25b40c9f69f0c9ef9117bf8"/>
                    <pic:cNvPicPr>
                      <a:picLocks noChangeAspect="1"/>
                    </pic:cNvPicPr>
                  </pic:nvPicPr>
                  <pic:blipFill>
                    <a:blip r:embed="rId4"/>
                    <a:stretch>
                      <a:fillRect/>
                    </a:stretch>
                  </pic:blipFill>
                  <pic:spPr>
                    <a:xfrm>
                      <a:off x="0" y="0"/>
                      <a:ext cx="5267325" cy="2964815"/>
                    </a:xfrm>
                    <a:prstGeom prst="rect">
                      <a:avLst/>
                    </a:prstGeom>
                  </pic:spPr>
                </pic:pic>
              </a:graphicData>
            </a:graphic>
          </wp:inline>
        </w:drawing>
      </w:r>
    </w:p>
    <w:p w14:paraId="690F5BD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eastAsia" w:ascii="Times New Roman" w:hAnsi="Times New Roman" w:eastAsia="Geist Fallback" w:cs="Times New Roman"/>
          <w:i w:val="0"/>
          <w:iCs w:val="0"/>
          <w:caps w:val="0"/>
          <w:spacing w:val="0"/>
          <w:sz w:val="21"/>
          <w:szCs w:val="21"/>
          <w:lang w:eastAsia="zh-CN"/>
        </w:rPr>
      </w:pPr>
      <w:r>
        <w:rPr>
          <w:rFonts w:hint="default" w:ascii="Times New Roman" w:hAnsi="Times New Roman" w:eastAsia="Geist Fallback" w:cs="Times New Roman"/>
          <w:i w:val="0"/>
          <w:iCs w:val="0"/>
          <w:caps w:val="0"/>
          <w:spacing w:val="0"/>
          <w:sz w:val="21"/>
          <w:szCs w:val="21"/>
        </w:rPr>
        <w:t xml:space="preserve">Figure </w:t>
      </w:r>
      <w:r>
        <w:rPr>
          <w:rFonts w:hint="eastAsia" w:ascii="Times New Roman" w:hAnsi="Times New Roman" w:eastAsia="宋体" w:cs="Times New Roman"/>
          <w:i w:val="0"/>
          <w:iCs w:val="0"/>
          <w:caps w:val="0"/>
          <w:spacing w:val="0"/>
          <w:sz w:val="21"/>
          <w:szCs w:val="21"/>
          <w:lang w:val="en-US" w:eastAsia="zh-CN"/>
        </w:rPr>
        <w:t>1</w:t>
      </w:r>
      <w:r>
        <w:rPr>
          <w:rFonts w:hint="default" w:ascii="Times New Roman" w:hAnsi="Times New Roman" w:eastAsia="Geist Fallback" w:cs="Times New Roman"/>
          <w:i w:val="0"/>
          <w:iCs w:val="0"/>
          <w:caps w:val="0"/>
          <w:spacing w:val="0"/>
          <w:sz w:val="21"/>
          <w:szCs w:val="21"/>
        </w:rPr>
        <w:t>. Intended HA-to-reporter signaling mechanism of EchoYeast.</w:t>
      </w:r>
    </w:p>
    <w:p w14:paraId="1A8441B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Our current work supports the characterization of the downstream FUS1 reporter system and the construction of several chassis-engineering modules, while full-length receptor expression, HA-dependent activation and integration with air sampling remain to be demonstrated.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"https://2026.igem.wiki/szpu-china/results"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Team Results</w:t>
      </w:r>
      <w:r>
        <w:rPr>
          <w:rFonts w:hint="default" w:ascii="Times New Roman" w:hAnsi="Times New Roman" w:eastAsia="Geist Fallback" w:cs="Times New Roman"/>
          <w:i w:val="0"/>
          <w:iCs w:val="0"/>
          <w:caps w:val="0"/>
          <w:spacing w:val="0"/>
          <w:sz w:val="24"/>
          <w:szCs w:val="24"/>
        </w:rPr>
        <w:fldChar w:fldCharType="end"/>
      </w:r>
    </w:p>
    <w:p w14:paraId="7DCD34F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Therefore, EchoYeast is currently an engineering exploration of a modular living-cell biosensor, rather than a clinically validated diagnostic device or a field-deployed airborne influenza detector.</w:t>
      </w:r>
    </w:p>
    <w:p w14:paraId="0AC63F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45"/>
          <w:szCs w:val="45"/>
        </w:rPr>
      </w:pPr>
      <w:r>
        <w:rPr>
          <w:rFonts w:hint="default" w:ascii="Times New Roman" w:hAnsi="Times New Roman" w:eastAsia="Geist Fallback" w:cs="Times New Roman"/>
          <w:i w:val="0"/>
          <w:iCs w:val="0"/>
          <w:caps w:val="0"/>
          <w:spacing w:val="0"/>
          <w:sz w:val="45"/>
          <w:szCs w:val="45"/>
        </w:rPr>
        <w:t>1. Why influenza?</w:t>
      </w:r>
    </w:p>
    <w:p w14:paraId="6AA734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36"/>
          <w:szCs w:val="36"/>
        </w:rPr>
      </w:pPr>
      <w:r>
        <w:rPr>
          <w:rFonts w:hint="default" w:ascii="Times New Roman" w:hAnsi="Times New Roman" w:eastAsia="Geist Fallback" w:cs="Times New Roman"/>
          <w:i w:val="0"/>
          <w:iCs w:val="0"/>
          <w:caps w:val="0"/>
          <w:spacing w:val="0"/>
          <w:sz w:val="36"/>
          <w:szCs w:val="36"/>
        </w:rPr>
        <w:t>1.1 A recurring global health challenge</w:t>
      </w:r>
    </w:p>
    <w:p w14:paraId="0EBCFFB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Seasonal influenza affects populations worldwide and causes substantial morbidity and mortality every year. People at increased risk of severe influenza complications include older adults, young children, pregnant individuals, people with chronic diseases and people with weakened immune systems. Influenza outbreaks can also produce school absenteeism, work absenteeism and pressure on healthcare services.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"https://www.who.int/news-room/fact-sheets/detail/influenza-(seasonal)"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1</w:t>
      </w:r>
      <w:r>
        <w:rPr>
          <w:rFonts w:hint="default" w:ascii="Times New Roman" w:hAnsi="Times New Roman" w:eastAsia="Geist Fallback" w:cs="Times New Roman"/>
          <w:i w:val="0"/>
          <w:iCs w:val="0"/>
          <w:caps w:val="0"/>
          <w:spacing w:val="0"/>
          <w:sz w:val="24"/>
          <w:szCs w:val="24"/>
        </w:rPr>
        <w:fldChar w:fldCharType="end"/>
      </w:r>
    </w:p>
    <w:p w14:paraId="5DC5DA5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For schools, hospitals, nursing institutions, dormitories and other shared indoor environments, we ask whether environmental information could complement individual-centered surveillance.</w:t>
      </w:r>
    </w:p>
    <w:p w14:paraId="2BD88C6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This does not mean replacing clinical diagnosis, vaccination or established laboratory testing. It means exploring whether a shared environment can provide an additional source of information about respiratory-virus risk.</w:t>
      </w:r>
    </w:p>
    <w:p w14:paraId="73C6B7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36"/>
          <w:szCs w:val="36"/>
        </w:rPr>
      </w:pPr>
      <w:r>
        <w:rPr>
          <w:rFonts w:hint="default" w:ascii="Times New Roman" w:hAnsi="Times New Roman" w:eastAsia="Geist Fallback" w:cs="Times New Roman"/>
          <w:i w:val="0"/>
          <w:iCs w:val="0"/>
          <w:caps w:val="0"/>
          <w:spacing w:val="0"/>
          <w:sz w:val="36"/>
          <w:szCs w:val="36"/>
        </w:rPr>
        <w:t>1.2 A global policy context</w:t>
      </w:r>
    </w:p>
    <w:p w14:paraId="3F3379B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The WHO </w:t>
      </w:r>
      <w:r>
        <w:rPr>
          <w:rStyle w:val="9"/>
          <w:rFonts w:hint="default" w:ascii="Times New Roman" w:hAnsi="Times New Roman" w:eastAsia="Geist Fallback" w:cs="Times New Roman"/>
          <w:i w:val="0"/>
          <w:iCs w:val="0"/>
          <w:caps w:val="0"/>
          <w:spacing w:val="0"/>
          <w:sz w:val="24"/>
          <w:szCs w:val="24"/>
        </w:rPr>
        <w:t>Global Influenza Strategy 2019–2030</w:t>
      </w:r>
      <w:r>
        <w:rPr>
          <w:rFonts w:hint="default" w:ascii="Times New Roman" w:hAnsi="Times New Roman" w:eastAsia="Geist Fallback" w:cs="Times New Roman"/>
          <w:i w:val="0"/>
          <w:iCs w:val="0"/>
          <w:caps w:val="0"/>
          <w:spacing w:val="0"/>
          <w:sz w:val="24"/>
          <w:szCs w:val="24"/>
        </w:rPr>
        <w:t xml:space="preserve"> provides a framework for strengthening seasonal influenza prevention and control and preparing for future influenza pandemics. The strategy emphasizes stronger national capacities and the development of improved tools for influenza prevention, detection, control and treatment.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"https://www.who.int/zh/news-room/feature-stories/detail/8-things-to-know-about-pandemic-influenza"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2</w:t>
      </w:r>
      <w:r>
        <w:rPr>
          <w:rFonts w:hint="default" w:ascii="Times New Roman" w:hAnsi="Times New Roman" w:eastAsia="Geist Fallback" w:cs="Times New Roman"/>
          <w:i w:val="0"/>
          <w:iCs w:val="0"/>
          <w:caps w:val="0"/>
          <w:spacing w:val="0"/>
          <w:sz w:val="24"/>
          <w:szCs w:val="24"/>
        </w:rPr>
        <w:fldChar w:fldCharType="end"/>
      </w:r>
    </w:p>
    <w:p w14:paraId="7250B4E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United Nations Sustainable Development Goal Target 3.d calls for strengthening the capacity of countries, particularly developing countries, for early warning, risk reduction and management of national and global health risks.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"https://sdgs.un.org/goals/goal3"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3</w:t>
      </w:r>
      <w:r>
        <w:rPr>
          <w:rFonts w:hint="default" w:ascii="Times New Roman" w:hAnsi="Times New Roman" w:eastAsia="Geist Fallback" w:cs="Times New Roman"/>
          <w:i w:val="0"/>
          <w:iCs w:val="0"/>
          <w:caps w:val="0"/>
          <w:spacing w:val="0"/>
          <w:sz w:val="24"/>
          <w:szCs w:val="24"/>
        </w:rPr>
        <w:fldChar w:fldCharType="end"/>
      </w:r>
    </w:p>
    <w:p w14:paraId="3688B1A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China’s 2024 guidance on an intelligent multi-point infectious-disease surveillance and early-warning system also calls for multiple surveillance channels, including environmental risk-factor monitoring, together with stronger risk assessment and early-warning coordination.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"https://www.gov.cn/zhengce/zhengceku/202408/content_6971481.htm"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4</w:t>
      </w:r>
      <w:r>
        <w:rPr>
          <w:rFonts w:hint="default" w:ascii="Times New Roman" w:hAnsi="Times New Roman" w:eastAsia="Geist Fallback" w:cs="Times New Roman"/>
          <w:i w:val="0"/>
          <w:iCs w:val="0"/>
          <w:caps w:val="0"/>
          <w:spacing w:val="0"/>
          <w:sz w:val="24"/>
          <w:szCs w:val="24"/>
        </w:rPr>
        <w:fldChar w:fldCharType="end"/>
      </w:r>
    </w:p>
    <w:p w14:paraId="48AE9C3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These global and national frameworks provide the public-health context for our project, but they do not endorse EchoYeast or establish its technical performance.</w:t>
      </w:r>
    </w:p>
    <w:p w14:paraId="72EC6D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45"/>
          <w:szCs w:val="45"/>
        </w:rPr>
      </w:pPr>
      <w:r>
        <w:rPr>
          <w:rFonts w:hint="default" w:ascii="Times New Roman" w:hAnsi="Times New Roman" w:eastAsia="Geist Fallback" w:cs="Times New Roman"/>
          <w:i w:val="0"/>
          <w:iCs w:val="0"/>
          <w:caps w:val="0"/>
          <w:spacing w:val="0"/>
          <w:sz w:val="45"/>
          <w:szCs w:val="45"/>
        </w:rPr>
        <w:t>2. Why consider air and exhaled breath?</w:t>
      </w:r>
    </w:p>
    <w:p w14:paraId="47B42A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36"/>
          <w:szCs w:val="36"/>
        </w:rPr>
      </w:pPr>
      <w:r>
        <w:rPr>
          <w:rFonts w:hint="default" w:ascii="Times New Roman" w:hAnsi="Times New Roman" w:eastAsia="Geist Fallback" w:cs="Times New Roman"/>
          <w:i w:val="0"/>
          <w:iCs w:val="0"/>
          <w:caps w:val="0"/>
          <w:spacing w:val="0"/>
          <w:sz w:val="36"/>
          <w:szCs w:val="36"/>
        </w:rPr>
        <w:t>2.1 Influenza-related signals can be found in exhaled particles</w:t>
      </w:r>
    </w:p>
    <w:p w14:paraId="628B76A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Respiratory particles can contain influenza-related material. Yan and colleagues detected influenza viral RNA in fine and coarse aerosol fractions collected from symptomatic seasonal influenza cases. In their study, infectious virus was recovered from a proportion of validly cultured fine-aerosol samples. The study also found that coughing and sneezing were not necessary for the generation of infectious aerosols.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"https://pubmed.ncbi.nlm.nih.gov/29348203/"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5</w:t>
      </w:r>
      <w:r>
        <w:rPr>
          <w:rFonts w:hint="default" w:ascii="Times New Roman" w:hAnsi="Times New Roman" w:eastAsia="Geist Fallback" w:cs="Times New Roman"/>
          <w:i w:val="0"/>
          <w:iCs w:val="0"/>
          <w:caps w:val="0"/>
          <w:spacing w:val="0"/>
          <w:sz w:val="24"/>
          <w:szCs w:val="24"/>
        </w:rPr>
        <w:fldChar w:fldCharType="end"/>
      </w:r>
    </w:p>
    <w:p w14:paraId="748C708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These findings support the importance of studying respiratory aerosols, but they do not prove that any environmental biosensor can provide presymptomatic diagnosis.</w:t>
      </w:r>
    </w:p>
    <w:p w14:paraId="06122A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36"/>
          <w:szCs w:val="36"/>
        </w:rPr>
      </w:pPr>
      <w:r>
        <w:rPr>
          <w:rFonts w:hint="default" w:ascii="Times New Roman" w:hAnsi="Times New Roman" w:eastAsia="Geist Fallback" w:cs="Times New Roman"/>
          <w:i w:val="0"/>
          <w:iCs w:val="0"/>
          <w:caps w:val="0"/>
          <w:spacing w:val="0"/>
          <w:sz w:val="36"/>
          <w:szCs w:val="36"/>
        </w:rPr>
        <w:t>2.2 Airborne-virus detection is an integrated engineering problem</w:t>
      </w:r>
    </w:p>
    <w:p w14:paraId="4329B2E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Airborne-virus detection is affected by particle size, sampling efficiency, target concentration, sample recovery and the preservation of detectable material. A sampler may process a large volume of air while collecting only a small amount of target material into the receiving liquid.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"https://pubmed.ncbi.nlm.nih.gov/30974505/"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6</w:t>
      </w:r>
      <w:r>
        <w:rPr>
          <w:rFonts w:hint="default" w:ascii="Times New Roman" w:hAnsi="Times New Roman" w:eastAsia="Geist Fallback" w:cs="Times New Roman"/>
          <w:i w:val="0"/>
          <w:iCs w:val="0"/>
          <w:caps w:val="0"/>
          <w:spacing w:val="0"/>
          <w:sz w:val="24"/>
          <w:szCs w:val="24"/>
        </w:rPr>
        <w:fldChar w:fldCharType="end"/>
      </w:r>
    </w:p>
    <w:p w14:paraId="3935AC6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The performance of the complete system therefore depends on more than molecular recognition.</w:t>
      </w:r>
    </w:p>
    <w:p w14:paraId="6A44E9F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For EchoYeast, an integrated workflow must answer four questions:</w:t>
      </w:r>
    </w:p>
    <w:p w14:paraId="30B18EB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r>
        <w:rPr>
          <w:rFonts w:hint="default" w:ascii="Times New Roman" w:hAnsi="Times New Roman" w:eastAsia="Geist Fallback" w:cs="Times New Roman"/>
          <w:b/>
          <w:bCs/>
          <w:i w:val="0"/>
          <w:iCs w:val="0"/>
          <w:caps w:val="0"/>
          <w:spacing w:val="0"/>
          <w:sz w:val="24"/>
          <w:szCs w:val="24"/>
        </w:rPr>
        <w:t>Can the target be collected from air or exhaled breath?</w:t>
      </w:r>
    </w:p>
    <w:p w14:paraId="677B882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r>
        <w:rPr>
          <w:rFonts w:hint="default" w:ascii="Times New Roman" w:hAnsi="Times New Roman" w:eastAsia="Geist Fallback" w:cs="Times New Roman"/>
          <w:b/>
          <w:bCs/>
          <w:i w:val="0"/>
          <w:iCs w:val="0"/>
          <w:caps w:val="0"/>
          <w:spacing w:val="0"/>
          <w:sz w:val="24"/>
          <w:szCs w:val="24"/>
        </w:rPr>
        <w:t>Does the collected material remain recognizable?</w:t>
      </w:r>
    </w:p>
    <w:p w14:paraId="0ED5A19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r>
        <w:rPr>
          <w:rFonts w:hint="default" w:ascii="Times New Roman" w:hAnsi="Times New Roman" w:eastAsia="Geist Fallback" w:cs="Times New Roman"/>
          <w:b/>
          <w:bCs/>
          <w:i w:val="0"/>
          <w:iCs w:val="0"/>
          <w:caps w:val="0"/>
          <w:spacing w:val="0"/>
          <w:sz w:val="24"/>
          <w:szCs w:val="24"/>
        </w:rPr>
        <w:t>Can molecular recognition be transmitted into the engineered yeast pathway?</w:t>
      </w:r>
    </w:p>
    <w:p w14:paraId="75A8760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r>
        <w:rPr>
          <w:rFonts w:hint="default" w:ascii="Times New Roman" w:hAnsi="Times New Roman" w:eastAsia="Geist Fallback" w:cs="Times New Roman"/>
          <w:b/>
          <w:bCs/>
          <w:i w:val="0"/>
          <w:iCs w:val="0"/>
          <w:caps w:val="0"/>
          <w:spacing w:val="0"/>
          <w:sz w:val="24"/>
          <w:szCs w:val="24"/>
        </w:rPr>
        <w:t>Can the final output be distinguished from background and nonspecific responses?</w:t>
      </w:r>
    </w:p>
    <w:p w14:paraId="2E3E6EB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We regard sampling, recognition, signal processing and readout as one connected engineering chain.</w:t>
      </w:r>
    </w:p>
    <w:p w14:paraId="3E6AFC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36"/>
          <w:szCs w:val="36"/>
        </w:rPr>
      </w:pPr>
      <w:r>
        <w:rPr>
          <w:rFonts w:hint="default" w:ascii="Times New Roman" w:hAnsi="Times New Roman" w:eastAsia="Geist Fallback" w:cs="Times New Roman"/>
          <w:i w:val="0"/>
          <w:iCs w:val="0"/>
          <w:caps w:val="0"/>
          <w:spacing w:val="0"/>
          <w:sz w:val="36"/>
          <w:szCs w:val="36"/>
        </w:rPr>
        <w:t>2.3 Existing airborne-virus technologies</w:t>
      </w:r>
    </w:p>
    <w:p w14:paraId="6746F05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Airborne-virus monitoring is already an active research field. Li and colleagues developed an integrated aerosol-monitoring platform that detected multiple respiratory viruses, including influenza A, using aerosol sampling and microfluidic nucleic-acid detection. This work demonstrates the potential of integrated environmental surveillance while also illustrating the importance of sensitivity, sample enrichment, automation and field deployment.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"https://www.nature.com/articles/s41467-024-53059-x"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8</w:t>
      </w:r>
      <w:r>
        <w:rPr>
          <w:rFonts w:hint="default" w:ascii="Times New Roman" w:hAnsi="Times New Roman" w:eastAsia="Geist Fallback" w:cs="Times New Roman"/>
          <w:i w:val="0"/>
          <w:iCs w:val="0"/>
          <w:caps w:val="0"/>
          <w:spacing w:val="0"/>
          <w:sz w:val="24"/>
          <w:szCs w:val="24"/>
        </w:rPr>
        <w:fldChar w:fldCharType="end"/>
      </w:r>
    </w:p>
    <w:p w14:paraId="678E4D3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EchoYeast does not claim to outperform nucleic-acid-based systems. Instead, it explores whether an engineered living cell can provide a different route for antigen recognition and signal amplification</w:t>
      </w:r>
    </w:p>
    <w:p w14:paraId="10E694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45"/>
          <w:szCs w:val="45"/>
        </w:rPr>
      </w:pPr>
      <w:r>
        <w:rPr>
          <w:rFonts w:hint="default" w:ascii="Times New Roman" w:hAnsi="Times New Roman" w:eastAsia="Geist Fallback" w:cs="Times New Roman"/>
          <w:i w:val="0"/>
          <w:iCs w:val="0"/>
          <w:caps w:val="0"/>
          <w:spacing w:val="0"/>
          <w:sz w:val="45"/>
          <w:szCs w:val="45"/>
        </w:rPr>
        <w:t>3. Why engineer yeast?</w:t>
      </w:r>
    </w:p>
    <w:p w14:paraId="72251F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36"/>
          <w:szCs w:val="36"/>
        </w:rPr>
      </w:pPr>
      <w:r>
        <w:rPr>
          <w:rFonts w:hint="default" w:ascii="Times New Roman" w:hAnsi="Times New Roman" w:eastAsia="Geist Fallback" w:cs="Times New Roman"/>
          <w:i w:val="0"/>
          <w:iCs w:val="0"/>
          <w:caps w:val="0"/>
          <w:spacing w:val="0"/>
          <w:sz w:val="36"/>
          <w:szCs w:val="36"/>
        </w:rPr>
        <w:t>3.1 Existing detection methods and a different design space</w:t>
      </w:r>
    </w:p>
    <w:p w14:paraId="6B0BB1D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Influenza can be detected using methods including nucleic-acid testing, antigen detection and virus isolation.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"https://www.who.int/news-room/fact-sheets/detail/influenza-(seasonal)"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1</w:t>
      </w:r>
      <w:r>
        <w:rPr>
          <w:rFonts w:hint="default" w:ascii="Times New Roman" w:hAnsi="Times New Roman" w:eastAsia="Geist Fallback" w:cs="Times New Roman"/>
          <w:i w:val="0"/>
          <w:iCs w:val="0"/>
          <w:caps w:val="0"/>
          <w:spacing w:val="0"/>
          <w:sz w:val="24"/>
          <w:szCs w:val="24"/>
        </w:rPr>
        <w:fldChar w:fldCharType="end"/>
      </w:r>
    </w:p>
    <w:p w14:paraId="4C2759D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A systematic review and meta-analysis found that digital immunoassays and rapid nucleic-acid amplification tests generally showed higher pooled sensitivity than traditional rapid influenza diagnostic tests, while specificity was generally high across the evaluated categories.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"https://pubmed.ncbi.nlm.nih.gov/28869986/"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7</w:t>
      </w:r>
      <w:r>
        <w:rPr>
          <w:rFonts w:hint="default" w:ascii="Times New Roman" w:hAnsi="Times New Roman" w:eastAsia="Geist Fallback" w:cs="Times New Roman"/>
          <w:i w:val="0"/>
          <w:iCs w:val="0"/>
          <w:caps w:val="0"/>
          <w:spacing w:val="0"/>
          <w:sz w:val="24"/>
          <w:szCs w:val="24"/>
        </w:rPr>
        <w:fldChar w:fldCharType="end"/>
      </w:r>
    </w:p>
    <w:p w14:paraId="07187F6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These methods are valuable, but they are generally designed around prepared samples and dedicated testing workflows.</w:t>
      </w:r>
    </w:p>
    <w:p w14:paraId="1B21439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EchoYeast explores a different design space in which recognition and signal processing are encoded within a living cell.</w:t>
      </w:r>
    </w:p>
    <w:p w14:paraId="344B874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The intended advantages of this design are modularity, genetic programmability and the possibility of connecting recognition to intracellular amplification.</w:t>
      </w:r>
    </w:p>
    <w:p w14:paraId="78504D0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These are design goals rather than experimentally demonstrated advantages over existing diagnostic technologies.</w:t>
      </w:r>
    </w:p>
    <w:p w14:paraId="6F0B84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36"/>
          <w:szCs w:val="36"/>
        </w:rPr>
      </w:pPr>
      <w:r>
        <w:rPr>
          <w:rFonts w:hint="default" w:ascii="Times New Roman" w:hAnsi="Times New Roman" w:eastAsia="Geist Fallback" w:cs="Times New Roman"/>
          <w:i w:val="0"/>
          <w:iCs w:val="0"/>
          <w:caps w:val="0"/>
          <w:spacing w:val="0"/>
          <w:sz w:val="36"/>
          <w:szCs w:val="36"/>
        </w:rPr>
        <w:t>3.2 Yeast as a signal-processing chassis</w:t>
      </w:r>
    </w:p>
    <w:p w14:paraId="40490EF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Yeast contains a native GPCR–G-protein–MAPK signaling architecture that can be connected to heterologous receptors. Previous work has shown that yeast GPCR signaling can be engineered and tuned to generate measurable responses to selected extracellular stimuli.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"https://pubmed.ncbi.nlm.nih.gov/30955892/"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9</w:t>
      </w:r>
      <w:r>
        <w:rPr>
          <w:rFonts w:hint="default" w:ascii="Times New Roman" w:hAnsi="Times New Roman" w:eastAsia="Geist Fallback" w:cs="Times New Roman"/>
          <w:i w:val="0"/>
          <w:iCs w:val="0"/>
          <w:caps w:val="0"/>
          <w:spacing w:val="0"/>
          <w:sz w:val="24"/>
          <w:szCs w:val="24"/>
        </w:rPr>
        <w:fldChar w:fldCharType="end"/>
      </w:r>
    </w:p>
    <w:p w14:paraId="50A9EAE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We selected </w:t>
      </w:r>
      <w:r>
        <w:rPr>
          <w:rStyle w:val="9"/>
          <w:rFonts w:hint="default" w:ascii="Times New Roman" w:hAnsi="Times New Roman" w:eastAsia="Geist Fallback" w:cs="Times New Roman"/>
          <w:i w:val="0"/>
          <w:iCs w:val="0"/>
          <w:caps w:val="0"/>
          <w:spacing w:val="0"/>
          <w:sz w:val="24"/>
          <w:szCs w:val="24"/>
        </w:rPr>
        <w:t>S. cerevisiae</w:t>
      </w:r>
      <w:r>
        <w:rPr>
          <w:rFonts w:hint="default" w:ascii="Times New Roman" w:hAnsi="Times New Roman" w:eastAsia="Geist Fallback" w:cs="Times New Roman"/>
          <w:i w:val="0"/>
          <w:iCs w:val="0"/>
          <w:caps w:val="0"/>
          <w:spacing w:val="0"/>
          <w:sz w:val="24"/>
          <w:szCs w:val="24"/>
        </w:rPr>
        <w:t xml:space="preserve"> BY4741 as the chassis for EchoYeast and designed a modular system containing recognition, gating, signal coupling and reporter-output layers.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"https://2026.igem.wiki/szpu-china/design"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Team Design</w:t>
      </w:r>
      <w:r>
        <w:rPr>
          <w:rFonts w:hint="default" w:ascii="Times New Roman" w:hAnsi="Times New Roman" w:eastAsia="Geist Fallback" w:cs="Times New Roman"/>
          <w:i w:val="0"/>
          <w:iCs w:val="0"/>
          <w:caps w:val="0"/>
          <w:spacing w:val="0"/>
          <w:sz w:val="24"/>
          <w:szCs w:val="24"/>
        </w:rPr>
        <w:fldChar w:fldCharType="end"/>
      </w:r>
    </w:p>
    <w:p w14:paraId="051BDFA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The central principle is:</w:t>
      </w:r>
    </w:p>
    <w:p w14:paraId="3E43891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b/>
          <w:bCs/>
          <w:i/>
          <w:iCs/>
          <w:caps w:val="0"/>
          <w:spacing w:val="0"/>
          <w:sz w:val="24"/>
          <w:szCs w:val="24"/>
        </w:rPr>
        <w:t>The recognition event is converted into a cellular signaling event, and the cellular signaling event is converted into a reporter output.</w:t>
      </w:r>
    </w:p>
    <w:p w14:paraId="1DF62F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45"/>
          <w:szCs w:val="45"/>
        </w:rPr>
      </w:pPr>
      <w:r>
        <w:rPr>
          <w:rFonts w:hint="default" w:ascii="Times New Roman" w:hAnsi="Times New Roman" w:eastAsia="Geist Fallback" w:cs="Times New Roman"/>
          <w:i w:val="0"/>
          <w:iCs w:val="0"/>
          <w:caps w:val="0"/>
          <w:spacing w:val="0"/>
          <w:sz w:val="45"/>
          <w:szCs w:val="45"/>
        </w:rPr>
        <w:t>4. System architecture</w:t>
      </w:r>
    </w:p>
    <w:p w14:paraId="41882F7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EchoYeast contains five connected engineering modules:</w:t>
      </w:r>
    </w:p>
    <w:p w14:paraId="6902246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r>
        <w:rPr>
          <w:rFonts w:hint="default" w:ascii="Times New Roman" w:hAnsi="Times New Roman" w:eastAsia="Geist Fallback" w:cs="Times New Roman"/>
          <w:b/>
          <w:bCs/>
          <w:i w:val="0"/>
          <w:iCs w:val="0"/>
          <w:caps w:val="0"/>
          <w:spacing w:val="0"/>
          <w:sz w:val="24"/>
          <w:szCs w:val="24"/>
        </w:rPr>
        <w:t>HA recognition module</w:t>
      </w:r>
    </w:p>
    <w:p w14:paraId="485F08E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r>
        <w:rPr>
          <w:rFonts w:hint="default" w:ascii="Times New Roman" w:hAnsi="Times New Roman" w:eastAsia="Geist Fallback" w:cs="Times New Roman"/>
          <w:b/>
          <w:bCs/>
          <w:i w:val="0"/>
          <w:iCs w:val="0"/>
          <w:caps w:val="0"/>
          <w:spacing w:val="0"/>
          <w:sz w:val="24"/>
          <w:szCs w:val="24"/>
        </w:rPr>
        <w:t>Antigen-gated receptor module</w:t>
      </w:r>
    </w:p>
    <w:p w14:paraId="386EDF5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r>
        <w:rPr>
          <w:rFonts w:hint="default" w:ascii="Times New Roman" w:hAnsi="Times New Roman" w:eastAsia="Geist Fallback" w:cs="Times New Roman"/>
          <w:b/>
          <w:bCs/>
          <w:i w:val="0"/>
          <w:iCs w:val="0"/>
          <w:caps w:val="0"/>
          <w:spacing w:val="0"/>
          <w:sz w:val="24"/>
          <w:szCs w:val="24"/>
        </w:rPr>
        <w:t>G-protein coupling module</w:t>
      </w:r>
    </w:p>
    <w:p w14:paraId="776F4CD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r>
        <w:rPr>
          <w:rFonts w:hint="default" w:ascii="Times New Roman" w:hAnsi="Times New Roman" w:eastAsia="Geist Fallback" w:cs="Times New Roman"/>
          <w:b/>
          <w:bCs/>
          <w:i w:val="0"/>
          <w:iCs w:val="0"/>
          <w:caps w:val="0"/>
          <w:spacing w:val="0"/>
          <w:sz w:val="24"/>
          <w:szCs w:val="24"/>
        </w:rPr>
        <w:t>Chassis-engineering module</w:t>
      </w:r>
    </w:p>
    <w:p w14:paraId="6308C12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r>
        <w:rPr>
          <w:rFonts w:hint="default" w:ascii="Times New Roman" w:hAnsi="Times New Roman" w:eastAsia="Geist Fallback" w:cs="Times New Roman"/>
          <w:b/>
          <w:bCs/>
          <w:i w:val="0"/>
          <w:iCs w:val="0"/>
          <w:caps w:val="0"/>
          <w:spacing w:val="0"/>
          <w:sz w:val="24"/>
          <w:szCs w:val="24"/>
        </w:rPr>
        <w:t>Reporter-output module</w:t>
      </w:r>
    </w:p>
    <w:p w14:paraId="10F9110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The intended architecture is shown below:</w:t>
      </w:r>
    </w:p>
    <w:p w14:paraId="2B610C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0" w:lineRule="atLeast"/>
        <w:ind w:left="0" w:right="0" w:firstLine="0"/>
        <w:jc w:val="left"/>
        <w:rPr>
          <w:rFonts w:hint="default" w:ascii="Times New Roman" w:hAnsi="Times New Roman" w:eastAsia="Geist Fallback" w:cs="Times New Roman"/>
          <w:i w:val="0"/>
          <w:iCs w:val="0"/>
          <w:caps w:val="0"/>
          <w:spacing w:val="0"/>
          <w:sz w:val="18"/>
          <w:szCs w:val="18"/>
        </w:rPr>
      </w:pPr>
    </w:p>
    <w:p w14:paraId="6B7CAAB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drawing>
          <wp:inline distT="0" distB="0" distL="114300" distR="114300">
            <wp:extent cx="5271770" cy="3954145"/>
            <wp:effectExtent l="0" t="0" r="5080" b="8255"/>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5"/>
                    <a:stretch>
                      <a:fillRect/>
                    </a:stretch>
                  </pic:blipFill>
                  <pic:spPr>
                    <a:xfrm>
                      <a:off x="0" y="0"/>
                      <a:ext cx="5271770" cy="3954145"/>
                    </a:xfrm>
                    <a:prstGeom prst="rect">
                      <a:avLst/>
                    </a:prstGeom>
                    <a:noFill/>
                    <a:ln>
                      <a:noFill/>
                    </a:ln>
                  </pic:spPr>
                </pic:pic>
              </a:graphicData>
            </a:graphic>
          </wp:inline>
        </w:drawing>
      </w:r>
    </w:p>
    <w:p w14:paraId="4ACFFFE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eastAsia" w:ascii="Times New Roman" w:hAnsi="Times New Roman" w:eastAsia="Geist Fallback" w:cs="Times New Roman"/>
          <w:i w:val="0"/>
          <w:iCs w:val="0"/>
          <w:caps w:val="0"/>
          <w:spacing w:val="0"/>
          <w:sz w:val="21"/>
          <w:szCs w:val="21"/>
          <w:lang w:eastAsia="zh-CN"/>
        </w:rPr>
      </w:pPr>
      <w:r>
        <w:rPr>
          <w:rFonts w:hint="default" w:ascii="Times New Roman" w:hAnsi="Times New Roman" w:eastAsia="Geist Fallback" w:cs="Times New Roman"/>
          <w:i w:val="0"/>
          <w:iCs w:val="0"/>
          <w:caps w:val="0"/>
          <w:spacing w:val="0"/>
          <w:sz w:val="21"/>
          <w:szCs w:val="21"/>
        </w:rPr>
        <w:t xml:space="preserve">Figure </w:t>
      </w:r>
      <w:r>
        <w:rPr>
          <w:rFonts w:hint="eastAsia" w:ascii="Times New Roman" w:hAnsi="Times New Roman" w:eastAsia="宋体" w:cs="Times New Roman"/>
          <w:i w:val="0"/>
          <w:iCs w:val="0"/>
          <w:caps w:val="0"/>
          <w:spacing w:val="0"/>
          <w:sz w:val="21"/>
          <w:szCs w:val="21"/>
          <w:lang w:val="en-US" w:eastAsia="zh-CN"/>
        </w:rPr>
        <w:t>2</w:t>
      </w:r>
      <w:r>
        <w:rPr>
          <w:rFonts w:hint="default" w:ascii="Times New Roman" w:hAnsi="Times New Roman" w:eastAsia="Geist Fallback" w:cs="Times New Roman"/>
          <w:i w:val="0"/>
          <w:iCs w:val="0"/>
          <w:caps w:val="0"/>
          <w:spacing w:val="0"/>
          <w:sz w:val="21"/>
          <w:szCs w:val="21"/>
        </w:rPr>
        <w:t>. Overall system architecture of EchoYeast. </w:t>
      </w:r>
    </w:p>
    <w:p w14:paraId="6EE8CB6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default" w:ascii="Times New Roman" w:hAnsi="Times New Roman" w:eastAsia="Geist Fallback" w:cs="Times New Roman"/>
          <w:i w:val="0"/>
          <w:iCs w:val="0"/>
          <w:caps w:val="0"/>
          <w:spacing w:val="0"/>
          <w:sz w:val="21"/>
          <w:szCs w:val="21"/>
        </w:rPr>
      </w:pPr>
    </w:p>
    <w:p w14:paraId="2C14E3C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This architecture is a design model. Each connection requires independent experimental validation.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"https://2026.igem.wiki/szpu-china/design"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Team Design</w:t>
      </w:r>
      <w:r>
        <w:rPr>
          <w:rFonts w:hint="default" w:ascii="Times New Roman" w:hAnsi="Times New Roman" w:eastAsia="Geist Fallback" w:cs="Times New Roman"/>
          <w:i w:val="0"/>
          <w:iCs w:val="0"/>
          <w:caps w:val="0"/>
          <w:spacing w:val="0"/>
          <w:sz w:val="24"/>
          <w:szCs w:val="24"/>
        </w:rPr>
        <w:fldChar w:fldCharType="end"/>
      </w:r>
      <w:r>
        <w:rPr>
          <w:rFonts w:hint="default" w:ascii="Times New Roman" w:hAnsi="Times New Roman" w:eastAsia="Geist Fallback" w:cs="Times New Roman"/>
          <w:i w:val="0"/>
          <w:iCs w:val="0"/>
          <w:caps w:val="0"/>
          <w:spacing w:val="0"/>
          <w:sz w:val="24"/>
          <w:szCs w:val="24"/>
        </w:rPr>
        <w:t xml:space="preserve">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"https://2026.igem.wiki/szpu-china/results"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Team Results</w:t>
      </w:r>
      <w:r>
        <w:rPr>
          <w:rFonts w:hint="default" w:ascii="Times New Roman" w:hAnsi="Times New Roman" w:eastAsia="Geist Fallback" w:cs="Times New Roman"/>
          <w:i w:val="0"/>
          <w:iCs w:val="0"/>
          <w:caps w:val="0"/>
          <w:spacing w:val="0"/>
          <w:sz w:val="24"/>
          <w:szCs w:val="24"/>
        </w:rPr>
        <w:fldChar w:fldCharType="end"/>
      </w:r>
    </w:p>
    <w:p w14:paraId="25D153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45"/>
          <w:szCs w:val="45"/>
        </w:rPr>
      </w:pPr>
      <w:r>
        <w:rPr>
          <w:rFonts w:hint="default" w:ascii="Times New Roman" w:hAnsi="Times New Roman" w:eastAsia="Geist Fallback" w:cs="Times New Roman"/>
          <w:i w:val="0"/>
          <w:iCs w:val="0"/>
          <w:caps w:val="0"/>
          <w:spacing w:val="0"/>
          <w:sz w:val="45"/>
          <w:szCs w:val="45"/>
        </w:rPr>
        <w:t>5. Module 1: HA recognition</w:t>
      </w:r>
    </w:p>
    <w:p w14:paraId="681E76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36"/>
          <w:szCs w:val="36"/>
        </w:rPr>
      </w:pPr>
      <w:r>
        <w:rPr>
          <w:rFonts w:hint="default" w:ascii="Times New Roman" w:hAnsi="Times New Roman" w:eastAsia="Geist Fallback" w:cs="Times New Roman"/>
          <w:i w:val="0"/>
          <w:iCs w:val="0"/>
          <w:caps w:val="0"/>
          <w:spacing w:val="0"/>
          <w:sz w:val="36"/>
          <w:szCs w:val="36"/>
        </w:rPr>
        <w:t>5.1 Why target the HA stem region?</w:t>
      </w:r>
    </w:p>
    <w:p w14:paraId="535B338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Influenza HA contains a relatively variable globular head and a more conserved membrane-proximal stem region. Gaiotto and Hufton used yeast display and deep mutational scanning to investigate cross-neutralizing nanobodies that bind a conserved pocket in the HA2 stem region.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"https://pmc.ncbi.nlm.nih.gov/articles/PMC5065140/"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10</w:t>
      </w:r>
      <w:r>
        <w:rPr>
          <w:rFonts w:hint="default" w:ascii="Times New Roman" w:hAnsi="Times New Roman" w:eastAsia="Geist Fallback" w:cs="Times New Roman"/>
          <w:i w:val="0"/>
          <w:iCs w:val="0"/>
          <w:caps w:val="0"/>
          <w:spacing w:val="0"/>
          <w:sz w:val="24"/>
          <w:szCs w:val="24"/>
        </w:rPr>
        <w:fldChar w:fldCharType="end"/>
      </w:r>
    </w:p>
    <w:p w14:paraId="1342A64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The HA stem therefore provides a literature-supported starting point for exploring recognition that is not restricted to a single highly variable head epitope.</w:t>
      </w:r>
    </w:p>
    <w:p w14:paraId="2EC7D7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36"/>
          <w:szCs w:val="36"/>
        </w:rPr>
      </w:pPr>
      <w:r>
        <w:rPr>
          <w:rFonts w:hint="default" w:ascii="Times New Roman" w:hAnsi="Times New Roman" w:eastAsia="Geist Fallback" w:cs="Times New Roman"/>
          <w:i w:val="0"/>
          <w:iCs w:val="0"/>
          <w:caps w:val="0"/>
          <w:spacing w:val="0"/>
          <w:sz w:val="36"/>
          <w:szCs w:val="36"/>
        </w:rPr>
        <w:t>5.2 Why use R1a-B6?</w:t>
      </w:r>
    </w:p>
    <w:p w14:paraId="1CFD788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Hufton and colleagues characterized R1a-B6 among a group of single-domain antibodies with cross-subtype neutralization activity in their experimental system. Their study also showed that antibody valency could alter neutralization potency against some influenza subtypes.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"https://pubmed.ncbi.nlm.nih.gov/25084445/"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11</w:t>
      </w:r>
      <w:r>
        <w:rPr>
          <w:rFonts w:hint="default" w:ascii="Times New Roman" w:hAnsi="Times New Roman" w:eastAsia="Geist Fallback" w:cs="Times New Roman"/>
          <w:i w:val="0"/>
          <w:iCs w:val="0"/>
          <w:caps w:val="0"/>
          <w:spacing w:val="0"/>
          <w:sz w:val="24"/>
          <w:szCs w:val="24"/>
        </w:rPr>
        <w:fldChar w:fldCharType="end"/>
      </w:r>
    </w:p>
    <w:p w14:paraId="0082D60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We use R1a-B6 as a literature-informed HA stem-region recognition element for an H1N1 prototype design.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"https://2026.igem.wiki/szpu-china/design"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Team Design</w:t>
      </w:r>
      <w:r>
        <w:rPr>
          <w:rFonts w:hint="default" w:ascii="Times New Roman" w:hAnsi="Times New Roman" w:eastAsia="Geist Fallback" w:cs="Times New Roman"/>
          <w:i w:val="0"/>
          <w:iCs w:val="0"/>
          <w:caps w:val="0"/>
          <w:spacing w:val="0"/>
          <w:sz w:val="24"/>
          <w:szCs w:val="24"/>
        </w:rPr>
        <w:fldChar w:fldCharType="end"/>
      </w:r>
    </w:p>
    <w:p w14:paraId="62DCCE1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We do not describe R1a-B6 as an H1N1-exclusive nanobody or as a universal detector for all influenza A subtypes.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"https://pmc.ncbi.nlm.nih.gov/articles/PMC5065140/"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10</w:t>
      </w:r>
      <w:r>
        <w:rPr>
          <w:rFonts w:hint="default" w:ascii="Times New Roman" w:hAnsi="Times New Roman" w:eastAsia="Geist Fallback" w:cs="Times New Roman"/>
          <w:i w:val="0"/>
          <w:iCs w:val="0"/>
          <w:caps w:val="0"/>
          <w:spacing w:val="0"/>
          <w:sz w:val="24"/>
          <w:szCs w:val="24"/>
        </w:rPr>
        <w:fldChar w:fldCharType="end"/>
      </w:r>
      <w:r>
        <w:rPr>
          <w:rFonts w:hint="default" w:ascii="Times New Roman" w:hAnsi="Times New Roman" w:eastAsia="Geist Fallback" w:cs="Times New Roman"/>
          <w:i w:val="0"/>
          <w:iCs w:val="0"/>
          <w:caps w:val="0"/>
          <w:spacing w:val="0"/>
          <w:sz w:val="24"/>
          <w:szCs w:val="24"/>
        </w:rPr>
        <w:t xml:space="preserve">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"https://pubmed.ncbi.nlm.nih.gov/25084445/"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11</w:t>
      </w:r>
      <w:r>
        <w:rPr>
          <w:rFonts w:hint="default" w:ascii="Times New Roman" w:hAnsi="Times New Roman" w:eastAsia="Geist Fallback" w:cs="Times New Roman"/>
          <w:i w:val="0"/>
          <w:iCs w:val="0"/>
          <w:caps w:val="0"/>
          <w:spacing w:val="0"/>
          <w:sz w:val="24"/>
          <w:szCs w:val="24"/>
        </w:rPr>
        <w:fldChar w:fldCharType="end"/>
      </w:r>
    </w:p>
    <w:p w14:paraId="5477F76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Our computational pipeline prioritized R1aB6 from a group of candidate nanobody sequences for further experimental consideration.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"https://2026.igem.wiki/szpu-china/model"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Team Model</w:t>
      </w:r>
      <w:r>
        <w:rPr>
          <w:rFonts w:hint="default" w:ascii="Times New Roman" w:hAnsi="Times New Roman" w:eastAsia="Geist Fallback" w:cs="Times New Roman"/>
          <w:i w:val="0"/>
          <w:iCs w:val="0"/>
          <w:caps w:val="0"/>
          <w:spacing w:val="0"/>
          <w:sz w:val="24"/>
          <w:szCs w:val="24"/>
        </w:rPr>
        <w:fldChar w:fldCharType="end"/>
      </w:r>
    </w:p>
    <w:p w14:paraId="5EBABA3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Computational prioritization does not prove that the final fusion receptor is correctly expressed, localized to the membrane or able to retain antigen-binding activity.</w:t>
      </w:r>
    </w:p>
    <w:p w14:paraId="08BC64E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The recognition module must therefore be validated at several levels:</w:t>
      </w:r>
    </w:p>
    <w:p w14:paraId="15F9B025">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rPr>
        <w:t>sequence integrity;</w:t>
      </w:r>
    </w:p>
    <w:p w14:paraId="75D2715E">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rPr>
        <w:t>protein folding;</w:t>
      </w:r>
    </w:p>
    <w:p w14:paraId="0011158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rPr>
        <w:t>antigen binding;</w:t>
      </w:r>
    </w:p>
    <w:p w14:paraId="4797BB5F">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rPr>
        <w:t>accessibility within the fusion receptor;</w:t>
      </w:r>
    </w:p>
    <w:p w14:paraId="20923F8B">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antigen-dependent effects on receptor state.</w:t>
      </w:r>
    </w:p>
    <w:p w14:paraId="61EE7B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45"/>
          <w:szCs w:val="45"/>
        </w:rPr>
      </w:pPr>
      <w:r>
        <w:rPr>
          <w:rFonts w:hint="default" w:ascii="Times New Roman" w:hAnsi="Times New Roman" w:eastAsia="Geist Fallback" w:cs="Times New Roman"/>
          <w:i w:val="0"/>
          <w:iCs w:val="0"/>
          <w:caps w:val="0"/>
          <w:spacing w:val="0"/>
          <w:sz w:val="45"/>
          <w:szCs w:val="45"/>
        </w:rPr>
        <w:t>6. Module 2: antigen-gated receptor design</w:t>
      </w:r>
    </w:p>
    <w:p w14:paraId="014518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36"/>
          <w:szCs w:val="36"/>
        </w:rPr>
      </w:pPr>
      <w:r>
        <w:rPr>
          <w:rFonts w:hint="default" w:ascii="Times New Roman" w:hAnsi="Times New Roman" w:eastAsia="Geist Fallback" w:cs="Times New Roman"/>
          <w:i w:val="0"/>
          <w:iCs w:val="0"/>
          <w:caps w:val="0"/>
          <w:spacing w:val="0"/>
          <w:sz w:val="36"/>
          <w:szCs w:val="36"/>
        </w:rPr>
        <w:t>6.1 PAGER-inspired logic</w:t>
      </w:r>
    </w:p>
    <w:p w14:paraId="460421D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PAGERs are programmable antigen-gated engineered GPCRs designed to connect antigen recognition with receptor activation. Their central mechanism uses a conditional autoinhibitory domain that suppresses receptor activity until antigen binding relieves the inhibition.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"https://pmc.ncbi.nlm.nih.gov/articles/PMC11666456/"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12</w:t>
      </w:r>
      <w:r>
        <w:rPr>
          <w:rFonts w:hint="default" w:ascii="Times New Roman" w:hAnsi="Times New Roman" w:eastAsia="Geist Fallback" w:cs="Times New Roman"/>
          <w:i w:val="0"/>
          <w:iCs w:val="0"/>
          <w:caps w:val="0"/>
          <w:spacing w:val="0"/>
          <w:sz w:val="24"/>
          <w:szCs w:val="24"/>
        </w:rPr>
        <w:fldChar w:fldCharType="end"/>
      </w:r>
    </w:p>
    <w:p w14:paraId="3E16E63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EchoYeast adapts this logic to an engineered yeast chassis and uses an HA-recognition nanobody in the receptor design.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"https://2026.igem.wiki/szpu-china/design"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Team Design</w:t>
      </w:r>
      <w:r>
        <w:rPr>
          <w:rFonts w:hint="default" w:ascii="Times New Roman" w:hAnsi="Times New Roman" w:eastAsia="Geist Fallback" w:cs="Times New Roman"/>
          <w:i w:val="0"/>
          <w:iCs w:val="0"/>
          <w:caps w:val="0"/>
          <w:spacing w:val="0"/>
          <w:sz w:val="24"/>
          <w:szCs w:val="24"/>
        </w:rPr>
        <w:fldChar w:fldCharType="end"/>
      </w:r>
    </w:p>
    <w:p w14:paraId="28013F2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Our intended receptor architecture is:</w:t>
      </w:r>
    </w:p>
    <w:p w14:paraId="3B882EE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drawing>
          <wp:inline distT="0" distB="0" distL="114300" distR="114300">
            <wp:extent cx="5268595" cy="2978785"/>
            <wp:effectExtent l="0" t="0" r="8255" b="2540"/>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6"/>
                    <a:stretch>
                      <a:fillRect/>
                    </a:stretch>
                  </pic:blipFill>
                  <pic:spPr>
                    <a:xfrm>
                      <a:off x="0" y="0"/>
                      <a:ext cx="5268595" cy="2978785"/>
                    </a:xfrm>
                    <a:prstGeom prst="rect">
                      <a:avLst/>
                    </a:prstGeom>
                    <a:noFill/>
                    <a:ln>
                      <a:noFill/>
                    </a:ln>
                  </pic:spPr>
                </pic:pic>
              </a:graphicData>
            </a:graphic>
          </wp:inline>
        </w:drawing>
      </w:r>
    </w:p>
    <w:p w14:paraId="1FCCBAE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default" w:ascii="Times New Roman" w:hAnsi="Times New Roman" w:eastAsia="Geist Fallback" w:cs="Times New Roman"/>
          <w:i w:val="0"/>
          <w:iCs w:val="0"/>
          <w:caps w:val="0"/>
          <w:spacing w:val="0"/>
          <w:sz w:val="21"/>
          <w:szCs w:val="21"/>
        </w:rPr>
      </w:pPr>
      <w:r>
        <w:rPr>
          <w:rFonts w:hint="default" w:ascii="Times New Roman" w:hAnsi="Times New Roman" w:eastAsia="Geist Fallback" w:cs="Times New Roman"/>
          <w:i w:val="0"/>
          <w:iCs w:val="0"/>
          <w:caps w:val="0"/>
          <w:spacing w:val="0"/>
          <w:sz w:val="21"/>
          <w:szCs w:val="21"/>
        </w:rPr>
        <w:t xml:space="preserve">Figure </w:t>
      </w:r>
      <w:r>
        <w:rPr>
          <w:rFonts w:hint="eastAsia" w:ascii="Times New Roman" w:hAnsi="Times New Roman" w:eastAsia="Geist Fallback" w:cs="Times New Roman"/>
          <w:i w:val="0"/>
          <w:iCs w:val="0"/>
          <w:caps w:val="0"/>
          <w:spacing w:val="0"/>
          <w:sz w:val="21"/>
          <w:szCs w:val="21"/>
          <w:lang w:val="en-US" w:eastAsia="zh-CN"/>
        </w:rPr>
        <w:t>3</w:t>
      </w:r>
      <w:r>
        <w:rPr>
          <w:rFonts w:hint="default" w:ascii="Times New Roman" w:hAnsi="Times New Roman" w:eastAsia="Geist Fallback" w:cs="Times New Roman"/>
          <w:i w:val="0"/>
          <w:iCs w:val="0"/>
          <w:caps w:val="0"/>
          <w:spacing w:val="0"/>
          <w:sz w:val="21"/>
          <w:szCs w:val="21"/>
        </w:rPr>
        <w:t>. Expected architecture of the EchoYeast HA-gated fusion receptor. </w:t>
      </w:r>
    </w:p>
    <w:p w14:paraId="2EE3BAD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default" w:ascii="Times New Roman" w:hAnsi="Times New Roman" w:eastAsia="Geist Fallback" w:cs="Times New Roman"/>
          <w:i w:val="0"/>
          <w:iCs w:val="0"/>
          <w:caps w:val="0"/>
          <w:spacing w:val="0"/>
          <w:sz w:val="21"/>
          <w:szCs w:val="21"/>
        </w:rPr>
      </w:pPr>
    </w:p>
    <w:p w14:paraId="7ACE0A8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The exact behavior of this architecture must be tested experimentally because a domain that functions in one host or scaffold may not function identically after transplantation into another system.</w:t>
      </w:r>
    </w:p>
    <w:p w14:paraId="05A741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36"/>
          <w:szCs w:val="36"/>
        </w:rPr>
      </w:pPr>
      <w:r>
        <w:rPr>
          <w:rFonts w:hint="default" w:ascii="Times New Roman" w:hAnsi="Times New Roman" w:eastAsia="Geist Fallback" w:cs="Times New Roman"/>
          <w:i w:val="0"/>
          <w:iCs w:val="0"/>
          <w:caps w:val="0"/>
          <w:spacing w:val="0"/>
          <w:sz w:val="36"/>
          <w:szCs w:val="36"/>
        </w:rPr>
        <w:t>6.2 The roles of HA and DCZ</w:t>
      </w:r>
    </w:p>
    <w:p w14:paraId="45F8FCE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In the intended OFF state, MT1 is designed to maintain hM1Dq in a low-activity state in the absence of HA.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"https://2026.igem.wiki/szpu-china/design"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Team Design</w:t>
      </w:r>
      <w:r>
        <w:rPr>
          <w:rFonts w:hint="default" w:ascii="Times New Roman" w:hAnsi="Times New Roman" w:eastAsia="Geist Fallback" w:cs="Times New Roman"/>
          <w:i w:val="0"/>
          <w:iCs w:val="0"/>
          <w:caps w:val="0"/>
          <w:spacing w:val="0"/>
          <w:sz w:val="24"/>
          <w:szCs w:val="24"/>
        </w:rPr>
        <w:fldChar w:fldCharType="end"/>
      </w:r>
    </w:p>
    <w:p w14:paraId="2FD62BD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In the intended ON state, HA binding to R1a-B6 is expected to relieve MT1-mediated autoinhibition through a steric mechanism. DCZ then provides the small-molecule agonist input required to activate the de-repressed hM1Dq receptor.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"https://pubmed.ncbi.nlm.nih.gov/39633047/"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12</w:t>
      </w:r>
      <w:r>
        <w:rPr>
          <w:rFonts w:hint="default" w:ascii="Times New Roman" w:hAnsi="Times New Roman" w:eastAsia="Geist Fallback" w:cs="Times New Roman"/>
          <w:i w:val="0"/>
          <w:iCs w:val="0"/>
          <w:caps w:val="0"/>
          <w:spacing w:val="0"/>
          <w:sz w:val="24"/>
          <w:szCs w:val="24"/>
        </w:rPr>
        <w:fldChar w:fldCharType="end"/>
      </w:r>
    </w:p>
    <w:p w14:paraId="2FBB2AF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Therefore:</w:t>
      </w:r>
    </w:p>
    <w:p w14:paraId="0C46EE5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rPr>
          <w:rFonts w:hint="default" w:ascii="Times New Roman" w:hAnsi="Times New Roman" w:cs="Times New Roman"/>
        </w:rPr>
      </w:pPr>
      <w:r>
        <w:rPr>
          <w:rFonts w:hint="default" w:ascii="Times New Roman" w:hAnsi="Times New Roman" w:eastAsia="Geist Fallback" w:cs="Times New Roman"/>
          <w:b/>
          <w:bCs/>
          <w:i/>
          <w:iCs/>
          <w:caps w:val="0"/>
          <w:spacing w:val="0"/>
          <w:sz w:val="24"/>
          <w:szCs w:val="24"/>
        </w:rPr>
        <w:t>HA is designed to control receptor gating, while DCZ provides receptor activation.</w:t>
      </w:r>
    </w:p>
    <w:p w14:paraId="70A0164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HA is not intended to function as the direct small-molecule agonist of hM1Dq.</w:t>
      </w:r>
    </w:p>
    <w:p w14:paraId="3294249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The TEV cleavage site is included as an auxiliary positive-control element for testing whether removal of the inhibitory region can restore downstream activity.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"https://2026.igem.wiki/szpu-china/design"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Team Design</w:t>
      </w:r>
      <w:r>
        <w:rPr>
          <w:rFonts w:hint="default" w:ascii="Times New Roman" w:hAnsi="Times New Roman" w:eastAsia="Geist Fallback" w:cs="Times New Roman"/>
          <w:i w:val="0"/>
          <w:iCs w:val="0"/>
          <w:caps w:val="0"/>
          <w:spacing w:val="0"/>
          <w:sz w:val="24"/>
          <w:szCs w:val="24"/>
        </w:rPr>
        <w:fldChar w:fldCharType="end"/>
      </w:r>
    </w:p>
    <w:p w14:paraId="4E322E1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A TEV-induced response would not prove that HA gating works. It would only help distinguish downstream pathway failure from receptor-gating failure.</w:t>
      </w:r>
    </w:p>
    <w:p w14:paraId="7F4A71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45"/>
          <w:szCs w:val="45"/>
        </w:rPr>
      </w:pPr>
      <w:r>
        <w:rPr>
          <w:rFonts w:hint="default" w:ascii="Times New Roman" w:hAnsi="Times New Roman" w:eastAsia="Geist Fallback" w:cs="Times New Roman"/>
          <w:i w:val="0"/>
          <w:iCs w:val="0"/>
          <w:caps w:val="0"/>
          <w:spacing w:val="0"/>
          <w:sz w:val="45"/>
          <w:szCs w:val="45"/>
        </w:rPr>
        <w:t>7. Module 3: G-protein coupling</w:t>
      </w:r>
    </w:p>
    <w:p w14:paraId="2CF2A0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36"/>
          <w:szCs w:val="36"/>
        </w:rPr>
      </w:pPr>
      <w:r>
        <w:rPr>
          <w:rFonts w:hint="default" w:ascii="Times New Roman" w:hAnsi="Times New Roman" w:eastAsia="Geist Fallback" w:cs="Times New Roman"/>
          <w:i w:val="0"/>
          <w:iCs w:val="0"/>
          <w:caps w:val="0"/>
          <w:spacing w:val="0"/>
          <w:sz w:val="36"/>
          <w:szCs w:val="36"/>
        </w:rPr>
        <w:t>7.1 Why humanize Gpa1?</w:t>
      </w:r>
    </w:p>
    <w:p w14:paraId="6335BF8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The coupling specificity of a GPCR is influenced by the C-terminal region of the Gα subunit.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"https://pubmed.ncbi.nlm.nih.gov/9109410/"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13</w:t>
      </w:r>
      <w:r>
        <w:rPr>
          <w:rFonts w:hint="default" w:ascii="Times New Roman" w:hAnsi="Times New Roman" w:eastAsia="Geist Fallback" w:cs="Times New Roman"/>
          <w:i w:val="0"/>
          <w:iCs w:val="0"/>
          <w:caps w:val="0"/>
          <w:spacing w:val="0"/>
          <w:sz w:val="24"/>
          <w:szCs w:val="24"/>
        </w:rPr>
        <w:fldChar w:fldCharType="end"/>
      </w:r>
    </w:p>
    <w:p w14:paraId="414AB4C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Brown and colleagues showed that replacing the final five residues of yeast Gpa1 with mammalian Gα sequences could improve the coupling of heterologous receptors to the yeast mating pathway.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"https://pubmed.ncbi.nlm.nih.gov/10620771/"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14</w:t>
      </w:r>
      <w:r>
        <w:rPr>
          <w:rFonts w:hint="default" w:ascii="Times New Roman" w:hAnsi="Times New Roman" w:eastAsia="Geist Fallback" w:cs="Times New Roman"/>
          <w:i w:val="0"/>
          <w:iCs w:val="0"/>
          <w:caps w:val="0"/>
          <w:spacing w:val="0"/>
          <w:sz w:val="24"/>
          <w:szCs w:val="24"/>
        </w:rPr>
        <w:fldChar w:fldCharType="end"/>
      </w:r>
    </w:p>
    <w:p w14:paraId="667B66E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Based on this principle, we designed a Gpa1–Gαq chimera in which the yeast Gpa1 C-terminal sequence is changed from </w:t>
      </w:r>
      <w:r>
        <w:rPr>
          <w:rFonts w:hint="default" w:ascii="Times New Roman" w:hAnsi="Times New Roman" w:eastAsia="Geist Fallback" w:cs="Times New Roman"/>
          <w:b/>
          <w:bCs/>
          <w:i w:val="0"/>
          <w:iCs w:val="0"/>
          <w:caps w:val="0"/>
          <w:spacing w:val="0"/>
          <w:sz w:val="24"/>
          <w:szCs w:val="24"/>
        </w:rPr>
        <w:t>KIGII</w:t>
      </w:r>
      <w:r>
        <w:rPr>
          <w:rFonts w:hint="default" w:ascii="Times New Roman" w:hAnsi="Times New Roman" w:eastAsia="Geist Fallback" w:cs="Times New Roman"/>
          <w:i w:val="0"/>
          <w:iCs w:val="0"/>
          <w:caps w:val="0"/>
          <w:spacing w:val="0"/>
          <w:sz w:val="24"/>
          <w:szCs w:val="24"/>
        </w:rPr>
        <w:t xml:space="preserve"> to the human Gαq-derived sequence </w:t>
      </w:r>
      <w:r>
        <w:rPr>
          <w:rFonts w:hint="default" w:ascii="Times New Roman" w:hAnsi="Times New Roman" w:eastAsia="Geist Fallback" w:cs="Times New Roman"/>
          <w:b/>
          <w:bCs/>
          <w:i w:val="0"/>
          <w:iCs w:val="0"/>
          <w:caps w:val="0"/>
          <w:spacing w:val="0"/>
          <w:sz w:val="24"/>
          <w:szCs w:val="24"/>
        </w:rPr>
        <w:t>EYNLV</w:t>
      </w:r>
      <w:r>
        <w:rPr>
          <w:rFonts w:hint="default" w:ascii="Times New Roman" w:hAnsi="Times New Roman" w:eastAsia="Geist Fallback" w:cs="Times New Roman"/>
          <w:i w:val="0"/>
          <w:iCs w:val="0"/>
          <w:caps w:val="0"/>
          <w:spacing w:val="0"/>
          <w:sz w:val="24"/>
          <w:szCs w:val="24"/>
        </w:rPr>
        <w:t xml:space="preserve">.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"https://2026.igem.wiki/szpu-china/design"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Team Design</w:t>
      </w:r>
      <w:r>
        <w:rPr>
          <w:rFonts w:hint="default" w:ascii="Times New Roman" w:hAnsi="Times New Roman" w:eastAsia="Geist Fallback" w:cs="Times New Roman"/>
          <w:i w:val="0"/>
          <w:iCs w:val="0"/>
          <w:caps w:val="0"/>
          <w:spacing w:val="0"/>
          <w:sz w:val="24"/>
          <w:szCs w:val="24"/>
        </w:rPr>
        <w:fldChar w:fldCharType="end"/>
      </w:r>
    </w:p>
    <w:p w14:paraId="697601A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The intended purpose is to create a receptor-recognition interface while retaining the yeast Gpa1 backbone and downstream yeast signaling context.</w:t>
      </w:r>
    </w:p>
    <w:p w14:paraId="1B849E8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b/>
          <w:bCs/>
          <w:i w:val="0"/>
          <w:iCs w:val="0"/>
          <w:caps w:val="0"/>
          <w:spacing w:val="0"/>
          <w:kern w:val="0"/>
          <w:sz w:val="36"/>
          <w:szCs w:val="36"/>
          <w:lang w:val="en-US" w:eastAsia="zh-CN" w:bidi="ar"/>
        </w:rPr>
      </w:pPr>
      <w:r>
        <w:rPr>
          <w:rFonts w:hint="default" w:ascii="Times New Roman" w:hAnsi="Times New Roman" w:eastAsia="Geist Fallback" w:cs="Times New Roman"/>
          <w:b/>
          <w:bCs/>
          <w:i w:val="0"/>
          <w:iCs w:val="0"/>
          <w:caps w:val="0"/>
          <w:spacing w:val="0"/>
          <w:kern w:val="0"/>
          <w:sz w:val="36"/>
          <w:szCs w:val="36"/>
          <w:lang w:val="en-US" w:eastAsia="zh-CN" w:bidi="ar"/>
        </w:rPr>
        <w:t>7.2 Gpa1–Gαq chimera construction and characterization</w:t>
      </w:r>
    </w:p>
    <w:p w14:paraId="2110B52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b w:val="0"/>
          <w:bCs w:val="0"/>
          <w:i w:val="0"/>
          <w:iCs w:val="0"/>
          <w:caps w:val="0"/>
          <w:spacing w:val="0"/>
          <w:kern w:val="0"/>
          <w:sz w:val="24"/>
          <w:szCs w:val="24"/>
          <w:lang w:val="en-US" w:eastAsia="zh-CN" w:bidi="ar"/>
        </w:rPr>
      </w:pPr>
      <w:r>
        <w:rPr>
          <w:rFonts w:hint="default" w:ascii="Times New Roman" w:hAnsi="Times New Roman" w:eastAsia="Geist Fallback" w:cs="Times New Roman"/>
          <w:b w:val="0"/>
          <w:bCs w:val="0"/>
          <w:i w:val="0"/>
          <w:iCs w:val="0"/>
          <w:caps w:val="0"/>
          <w:spacing w:val="0"/>
          <w:kern w:val="0"/>
          <w:sz w:val="24"/>
          <w:szCs w:val="24"/>
          <w:lang w:val="en-US" w:eastAsia="zh-CN" w:bidi="ar"/>
        </w:rPr>
        <w:t xml:space="preserve">We constructed the Gpa1-humanization template by assembling GPA1 homology arms and the URA3 selection marker, followed by yeast transformation and colony-PCR screening. Sanger sequencing confirmed that clones 12 and 17 matched the expected sequence in the target replacement region. Both strains showed reduced α-factor-induced shmoo formation and growth inhibition, while maintaining normal proliferation. When tested with the FUS1–yEGFP reporter, the humanized strains displayed strongly attenuated α-factor-induced fluorescence, indicating that Gpa1 humanization effectively suppressed the native α-factor–MAPK–FUS1 response and reduced potential background activation. Direct coupling between the humanized Gpa1 chimera and hM1Dq in the complete receptor system remains to be validated.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"https://2026.igem.wiki/szpu-china/results"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Team Results</w:t>
      </w:r>
      <w:r>
        <w:rPr>
          <w:rFonts w:hint="default" w:ascii="Times New Roman" w:hAnsi="Times New Roman" w:eastAsia="Geist Fallback" w:cs="Times New Roman"/>
          <w:i w:val="0"/>
          <w:iCs w:val="0"/>
          <w:caps w:val="0"/>
          <w:spacing w:val="0"/>
          <w:sz w:val="24"/>
          <w:szCs w:val="24"/>
        </w:rPr>
        <w:fldChar w:fldCharType="end"/>
      </w:r>
    </w:p>
    <w:p w14:paraId="67BCDC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45"/>
          <w:szCs w:val="45"/>
        </w:rPr>
      </w:pPr>
      <w:r>
        <w:rPr>
          <w:rFonts w:hint="default" w:ascii="Times New Roman" w:hAnsi="Times New Roman" w:eastAsia="Geist Fallback" w:cs="Times New Roman"/>
          <w:i w:val="0"/>
          <w:iCs w:val="0"/>
          <w:caps w:val="0"/>
          <w:spacing w:val="0"/>
          <w:sz w:val="45"/>
          <w:szCs w:val="45"/>
        </w:rPr>
        <w:t>8. Module 4: chassis engineering</w:t>
      </w:r>
    </w:p>
    <w:p w14:paraId="21C8CF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36"/>
          <w:szCs w:val="36"/>
        </w:rPr>
      </w:pPr>
      <w:r>
        <w:rPr>
          <w:rFonts w:hint="default" w:ascii="Times New Roman" w:hAnsi="Times New Roman" w:eastAsia="Geist Fallback" w:cs="Times New Roman"/>
          <w:i w:val="0"/>
          <w:iCs w:val="0"/>
          <w:caps w:val="0"/>
          <w:spacing w:val="0"/>
          <w:sz w:val="36"/>
          <w:szCs w:val="36"/>
        </w:rPr>
        <w:t>8.1 FAR1 and cell-cycle arrest</w:t>
      </w:r>
    </w:p>
    <w:p w14:paraId="62D7E7F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Yeast pheromone signaling can induce G1-phase cell-cycle arrest, and Far1 connects pheromone signaling with cell-cycle regulation.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"https://pubmed.ncbi.nlm.nih.gov/24909323/"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15</w:t>
      </w:r>
      <w:r>
        <w:rPr>
          <w:rFonts w:hint="default" w:ascii="Times New Roman" w:hAnsi="Times New Roman" w:eastAsia="Geist Fallback" w:cs="Times New Roman"/>
          <w:i w:val="0"/>
          <w:iCs w:val="0"/>
          <w:caps w:val="0"/>
          <w:spacing w:val="0"/>
          <w:sz w:val="24"/>
          <w:szCs w:val="24"/>
        </w:rPr>
        <w:fldChar w:fldCharType="end"/>
      </w:r>
    </w:p>
    <w:p w14:paraId="7530F52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We designed FAR1 disruption to reduce the growth-arrest component of the native mating response and to explore a chassis more suitable for sustained sensor operation.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"https://2026.igem.wiki/szpu-china/design"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Team Design</w:t>
      </w:r>
      <w:r>
        <w:rPr>
          <w:rFonts w:hint="default" w:ascii="Times New Roman" w:hAnsi="Times New Roman" w:eastAsia="Geist Fallback" w:cs="Times New Roman"/>
          <w:i w:val="0"/>
          <w:iCs w:val="0"/>
          <w:caps w:val="0"/>
          <w:spacing w:val="0"/>
          <w:sz w:val="24"/>
          <w:szCs w:val="24"/>
        </w:rPr>
        <w:fldChar w:fldCharType="end"/>
      </w:r>
    </w:p>
    <w:p w14:paraId="302397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36"/>
          <w:szCs w:val="36"/>
        </w:rPr>
      </w:pPr>
      <w:r>
        <w:rPr>
          <w:rFonts w:hint="default" w:ascii="Times New Roman" w:hAnsi="Times New Roman" w:eastAsia="Geist Fallback" w:cs="Times New Roman"/>
          <w:i w:val="0"/>
          <w:iCs w:val="0"/>
          <w:caps w:val="0"/>
          <w:spacing w:val="0"/>
          <w:sz w:val="36"/>
          <w:szCs w:val="36"/>
        </w:rPr>
        <w:t>8.2 SST2 and negative regulation</w:t>
      </w:r>
    </w:p>
    <w:p w14:paraId="5467648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Sst2 is a major negative regulator of Gpa1-mediated pheromone signaling in </w:t>
      </w:r>
      <w:r>
        <w:rPr>
          <w:rStyle w:val="9"/>
          <w:rFonts w:hint="default" w:ascii="Times New Roman" w:hAnsi="Times New Roman" w:eastAsia="Geist Fallback" w:cs="Times New Roman"/>
          <w:i w:val="0"/>
          <w:iCs w:val="0"/>
          <w:caps w:val="0"/>
          <w:spacing w:val="0"/>
          <w:sz w:val="24"/>
          <w:szCs w:val="24"/>
        </w:rPr>
        <w:t>S. cerevisiae</w:t>
      </w:r>
      <w:r>
        <w:rPr>
          <w:rFonts w:hint="default" w:ascii="Times New Roman" w:hAnsi="Times New Roman" w:eastAsia="Geist Fallback" w:cs="Times New Roman"/>
          <w:i w:val="0"/>
          <w:iCs w:val="0"/>
          <w:caps w:val="0"/>
          <w:spacing w:val="0"/>
          <w:sz w:val="24"/>
          <w:szCs w:val="24"/>
        </w:rPr>
        <w:t xml:space="preserve">. SST2 deletion can increase pheromone sensitivity, but it may also alter background signaling and the relationship between cell growth and reporter output.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"https://pubmed.ncbi.nlm.nih.gov/16467474/"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16</w:t>
      </w:r>
      <w:r>
        <w:rPr>
          <w:rFonts w:hint="default" w:ascii="Times New Roman" w:hAnsi="Times New Roman" w:eastAsia="Geist Fallback" w:cs="Times New Roman"/>
          <w:i w:val="0"/>
          <w:iCs w:val="0"/>
          <w:caps w:val="0"/>
          <w:spacing w:val="0"/>
          <w:sz w:val="24"/>
          <w:szCs w:val="24"/>
        </w:rPr>
        <w:fldChar w:fldCharType="end"/>
      </w:r>
    </w:p>
    <w:p w14:paraId="07FE4F5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We therefore treated SST2 disruption as a signal-regulation hypothesis rather than assuming that increased signal intensity automatically represents improved sensing performance.</w:t>
      </w:r>
    </w:p>
    <w:p w14:paraId="406819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36"/>
          <w:szCs w:val="36"/>
        </w:rPr>
      </w:pPr>
      <w:r>
        <w:rPr>
          <w:rFonts w:hint="default" w:ascii="Times New Roman" w:hAnsi="Times New Roman" w:eastAsia="Geist Fallback" w:cs="Times New Roman"/>
          <w:i w:val="0"/>
          <w:iCs w:val="0"/>
          <w:caps w:val="0"/>
          <w:spacing w:val="0"/>
          <w:sz w:val="36"/>
          <w:szCs w:val="36"/>
        </w:rPr>
        <w:t>8.3 What our chassis data show</w:t>
      </w:r>
    </w:p>
    <w:p w14:paraId="615AD54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Our project introduced four-base-pair deletions into the targeted FAR1 and SST2 loci and used colony PCR and Sanger sequencing for verification. Under the reported α-factor conditions, the FAR1 knockout strain showed reduced growth inhibition compared with the parental strain. The FAR1/SST2 double-knockout strain showed altered growth and total-fluorescence behavior under several α-factor concentrations.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"https://2026.igem.wiki/szpu-china/results"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Team Results</w:t>
      </w:r>
      <w:r>
        <w:rPr>
          <w:rFonts w:hint="default" w:ascii="Times New Roman" w:hAnsi="Times New Roman" w:eastAsia="Geist Fallback" w:cs="Times New Roman"/>
          <w:i w:val="0"/>
          <w:iCs w:val="0"/>
          <w:caps w:val="0"/>
          <w:spacing w:val="0"/>
          <w:sz w:val="24"/>
          <w:szCs w:val="24"/>
        </w:rPr>
        <w:fldChar w:fldCharType="end"/>
      </w:r>
    </w:p>
    <w:p w14:paraId="1B9BD10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Total fluorescence and fluorescence normalized to optical density are not equivalent measurements. Our data show that a strain can produce higher total fluorescence without consistently producing higher fluorescence per unit biomass.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"https://supabase.infmind.cn/storage/v1/object/public/infmind_20260424_files/09916f6a-dba8-4592-b05b-c4deadb315bf/4a3e8316-8621-4b49-8c3b-f2ed4262f7f3.docx"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FUS1–yEGFP Experimental Report</w:t>
      </w:r>
      <w:r>
        <w:rPr>
          <w:rFonts w:hint="default" w:ascii="Times New Roman" w:hAnsi="Times New Roman" w:eastAsia="Geist Fallback" w:cs="Times New Roman"/>
          <w:i w:val="0"/>
          <w:iCs w:val="0"/>
          <w:caps w:val="0"/>
          <w:spacing w:val="0"/>
          <w:sz w:val="24"/>
          <w:szCs w:val="24"/>
        </w:rPr>
        <w:fldChar w:fldCharType="end"/>
      </w:r>
    </w:p>
    <w:p w14:paraId="03F287B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Because the double-knockout experiment did not include a same-batch FAR1-single-knockout comparator, the independent contribution of SST2 deletion cannot be directly calculated from the current dataset.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"https://supabase.infmind.cn/storage/v1/object/public/infmind_20260424_files/09916f6a-dba8-4592-b05b-c4deadb315bf/4a3e8316-8621-4b49-8c3b-f2ed4262f7f3.docx"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FUS1–yEGFP Experimental Report</w:t>
      </w:r>
      <w:r>
        <w:rPr>
          <w:rFonts w:hint="default" w:ascii="Times New Roman" w:hAnsi="Times New Roman" w:eastAsia="Geist Fallback" w:cs="Times New Roman"/>
          <w:i w:val="0"/>
          <w:iCs w:val="0"/>
          <w:caps w:val="0"/>
          <w:spacing w:val="0"/>
          <w:sz w:val="24"/>
          <w:szCs w:val="24"/>
        </w:rPr>
        <w:fldChar w:fldCharType="end"/>
      </w:r>
    </w:p>
    <w:p w14:paraId="2F4F197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The relevant engineering question is therefore not simply “which strain is brightest,” but:</w:t>
      </w:r>
    </w:p>
    <w:p w14:paraId="2F3B34B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b/>
          <w:bCs/>
          <w:i/>
          <w:iCs/>
          <w:caps w:val="0"/>
          <w:spacing w:val="0"/>
          <w:sz w:val="24"/>
          <w:szCs w:val="24"/>
        </w:rPr>
        <w:t>Which chassis produces a sufficiently strong, reproducible and interpretable signal while retaining acceptable growth and low background?</w:t>
      </w:r>
    </w:p>
    <w:p w14:paraId="1852AF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45"/>
          <w:szCs w:val="45"/>
        </w:rPr>
      </w:pPr>
      <w:r>
        <w:rPr>
          <w:rFonts w:hint="default" w:ascii="Times New Roman" w:hAnsi="Times New Roman" w:eastAsia="Geist Fallback" w:cs="Times New Roman"/>
          <w:i w:val="0"/>
          <w:iCs w:val="0"/>
          <w:caps w:val="0"/>
          <w:spacing w:val="0"/>
          <w:sz w:val="45"/>
          <w:szCs w:val="45"/>
        </w:rPr>
        <w:t>9. Module 5: FUS1 reporter output</w:t>
      </w:r>
    </w:p>
    <w:p w14:paraId="417757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36"/>
          <w:szCs w:val="36"/>
        </w:rPr>
      </w:pPr>
      <w:r>
        <w:rPr>
          <w:rFonts w:hint="default" w:ascii="Times New Roman" w:hAnsi="Times New Roman" w:eastAsia="Geist Fallback" w:cs="Times New Roman"/>
          <w:i w:val="0"/>
          <w:iCs w:val="0"/>
          <w:caps w:val="0"/>
          <w:spacing w:val="0"/>
          <w:sz w:val="36"/>
          <w:szCs w:val="36"/>
        </w:rPr>
        <w:t>9.1 Why use FUS1?</w:t>
      </w:r>
    </w:p>
    <w:p w14:paraId="3027DEE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FUS1 is a pheromone-induced gene associated with yeast mating and cell fusion.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"https://pubmed.ncbi.nlm.nih.gov/3302672/"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17</w:t>
      </w:r>
      <w:r>
        <w:rPr>
          <w:rFonts w:hint="default" w:ascii="Times New Roman" w:hAnsi="Times New Roman" w:eastAsia="Geist Fallback" w:cs="Times New Roman"/>
          <w:i w:val="0"/>
          <w:iCs w:val="0"/>
          <w:caps w:val="0"/>
          <w:spacing w:val="0"/>
          <w:sz w:val="24"/>
          <w:szCs w:val="24"/>
        </w:rPr>
        <w:fldChar w:fldCharType="end"/>
      </w:r>
    </w:p>
    <w:p w14:paraId="2630589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Earlier promoter studies showed that FUS1 transcription is strongly induced by mating pheromone and depends on the yeast pheromone-response pathway. The FUS1 upstream region contains pheromone-response elements that contribute to its inducible transcriptional behavior.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"https://pubmed.ncbi.nlm.nih.gov/1903837/"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18</w:t>
      </w:r>
      <w:r>
        <w:rPr>
          <w:rFonts w:hint="default" w:ascii="Times New Roman" w:hAnsi="Times New Roman" w:eastAsia="Geist Fallback" w:cs="Times New Roman"/>
          <w:i w:val="0"/>
          <w:iCs w:val="0"/>
          <w:caps w:val="0"/>
          <w:spacing w:val="0"/>
          <w:sz w:val="24"/>
          <w:szCs w:val="24"/>
        </w:rPr>
        <w:fldChar w:fldCharType="end"/>
      </w:r>
    </w:p>
    <w:p w14:paraId="0371F67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These characteristics make FUS1 a suitable candidate for connecting the yeast MAPK pathway to a reporter gene.</w:t>
      </w:r>
    </w:p>
    <w:p w14:paraId="567BB4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36"/>
          <w:szCs w:val="36"/>
        </w:rPr>
      </w:pPr>
      <w:r>
        <w:rPr>
          <w:rFonts w:hint="default" w:ascii="Times New Roman" w:hAnsi="Times New Roman" w:eastAsia="Geist Fallback" w:cs="Times New Roman"/>
          <w:i w:val="0"/>
          <w:iCs w:val="0"/>
          <w:caps w:val="0"/>
          <w:spacing w:val="0"/>
          <w:sz w:val="36"/>
          <w:szCs w:val="36"/>
        </w:rPr>
        <w:t>9.2 Two independent reporter routes</w:t>
      </w:r>
    </w:p>
    <w:p w14:paraId="34F8276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We constructed two independent reporter routes:</w:t>
      </w:r>
    </w:p>
    <w:p w14:paraId="0ECC11DD">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r>
        <w:rPr>
          <w:rFonts w:hint="default" w:ascii="Times New Roman" w:hAnsi="Times New Roman" w:eastAsia="Geist Fallback" w:cs="Times New Roman"/>
          <w:b/>
          <w:bCs/>
          <w:i w:val="0"/>
          <w:iCs w:val="0"/>
          <w:caps w:val="0"/>
          <w:spacing w:val="0"/>
          <w:sz w:val="24"/>
          <w:szCs w:val="24"/>
        </w:rPr>
        <w:t>P_FUS1–yEGFP</w:t>
      </w:r>
      <w:r>
        <w:rPr>
          <w:rFonts w:hint="default" w:ascii="Times New Roman" w:hAnsi="Times New Roman" w:eastAsia="Geist Fallback" w:cs="Times New Roman"/>
          <w:i w:val="0"/>
          <w:iCs w:val="0"/>
          <w:caps w:val="0"/>
          <w:spacing w:val="0"/>
          <w:sz w:val="24"/>
          <w:szCs w:val="24"/>
        </w:rPr>
        <w:t xml:space="preserve"> for fluorescence;</w:t>
      </w:r>
    </w:p>
    <w:p w14:paraId="4BFCD0C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r>
        <w:rPr>
          <w:rFonts w:hint="default" w:ascii="Times New Roman" w:hAnsi="Times New Roman" w:eastAsia="Geist Fallback" w:cs="Times New Roman"/>
          <w:b/>
          <w:bCs/>
          <w:i w:val="0"/>
          <w:iCs w:val="0"/>
          <w:caps w:val="0"/>
          <w:spacing w:val="0"/>
          <w:sz w:val="24"/>
          <w:szCs w:val="24"/>
        </w:rPr>
        <w:t>P_FUS1–MEL1</w:t>
      </w:r>
      <w:r>
        <w:rPr>
          <w:rFonts w:hint="default" w:ascii="Times New Roman" w:hAnsi="Times New Roman" w:eastAsia="Geist Fallback" w:cs="Times New Roman"/>
          <w:i w:val="0"/>
          <w:iCs w:val="0"/>
          <w:caps w:val="0"/>
          <w:spacing w:val="0"/>
          <w:sz w:val="24"/>
          <w:szCs w:val="24"/>
        </w:rPr>
        <w:t xml:space="preserve"> for colorimetric output.</w:t>
      </w:r>
    </w:p>
    <w:p w14:paraId="6A2CE2B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The two reporters are parallel constructs rather than a single dual-reporter construct.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"https://2026.igem.wiki/szpu-china/design"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Team Design</w:t>
      </w:r>
      <w:r>
        <w:rPr>
          <w:rFonts w:hint="default" w:ascii="Times New Roman" w:hAnsi="Times New Roman" w:eastAsia="Geist Fallback" w:cs="Times New Roman"/>
          <w:i w:val="0"/>
          <w:iCs w:val="0"/>
          <w:caps w:val="0"/>
          <w:spacing w:val="0"/>
          <w:sz w:val="24"/>
          <w:szCs w:val="24"/>
        </w:rPr>
        <w:fldChar w:fldCharType="end"/>
      </w:r>
    </w:p>
    <w:p w14:paraId="1800D3A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The yEGFP route was selected because yeast-enhanced GFP has been developed as a reporter for gene expression in fungal systems, including </w:t>
      </w:r>
      <w:r>
        <w:rPr>
          <w:rStyle w:val="9"/>
          <w:rFonts w:hint="default" w:ascii="Times New Roman" w:hAnsi="Times New Roman" w:eastAsia="Geist Fallback" w:cs="Times New Roman"/>
          <w:i w:val="0"/>
          <w:iCs w:val="0"/>
          <w:caps w:val="0"/>
          <w:spacing w:val="0"/>
          <w:sz w:val="24"/>
          <w:szCs w:val="24"/>
        </w:rPr>
        <w:t>S. cerevisiae</w:t>
      </w:r>
      <w:r>
        <w:rPr>
          <w:rFonts w:hint="default" w:ascii="Times New Roman" w:hAnsi="Times New Roman" w:eastAsia="Geist Fallback" w:cs="Times New Roman"/>
          <w:i w:val="0"/>
          <w:iCs w:val="0"/>
          <w:caps w:val="0"/>
          <w:spacing w:val="0"/>
          <w:sz w:val="24"/>
          <w:szCs w:val="24"/>
        </w:rPr>
        <w:t xml:space="preserve">.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"https://pubmed.ncbi.nlm.nih.gov/9043107/"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19</w:t>
      </w:r>
      <w:r>
        <w:rPr>
          <w:rFonts w:hint="default" w:ascii="Times New Roman" w:hAnsi="Times New Roman" w:eastAsia="Geist Fallback" w:cs="Times New Roman"/>
          <w:i w:val="0"/>
          <w:iCs w:val="0"/>
          <w:caps w:val="0"/>
          <w:spacing w:val="0"/>
          <w:sz w:val="24"/>
          <w:szCs w:val="24"/>
        </w:rPr>
        <w:fldChar w:fldCharType="end"/>
      </w:r>
    </w:p>
    <w:p w14:paraId="4A55ECB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MEL1 encodes yeast α-galactosidase, and its sequence and secretory-protein architecture have been characterized previously.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"https://pubmed.ncbi.nlm.nih.gov/2997745/"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20</w:t>
      </w:r>
      <w:r>
        <w:rPr>
          <w:rFonts w:hint="default" w:ascii="Times New Roman" w:hAnsi="Times New Roman" w:eastAsia="Geist Fallback" w:cs="Times New Roman"/>
          <w:i w:val="0"/>
          <w:iCs w:val="0"/>
          <w:caps w:val="0"/>
          <w:spacing w:val="0"/>
          <w:sz w:val="24"/>
          <w:szCs w:val="24"/>
        </w:rPr>
        <w:fldChar w:fldCharType="end"/>
      </w:r>
    </w:p>
    <w:p w14:paraId="771D51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36"/>
          <w:szCs w:val="36"/>
        </w:rPr>
      </w:pPr>
      <w:r>
        <w:rPr>
          <w:rFonts w:hint="default" w:ascii="Times New Roman" w:hAnsi="Times New Roman" w:eastAsia="Geist Fallback" w:cs="Times New Roman"/>
          <w:i w:val="0"/>
          <w:iCs w:val="0"/>
          <w:caps w:val="0"/>
          <w:spacing w:val="0"/>
          <w:sz w:val="36"/>
          <w:szCs w:val="36"/>
        </w:rPr>
        <w:t>9.3 Reporter construction and α-factor characterization</w:t>
      </w:r>
    </w:p>
    <w:p w14:paraId="130CF72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Our Registry-submission FUS1 promoter is a 435-bp fragment corresponding to the </w:t>
      </w:r>
      <w:r>
        <w:rPr>
          <w:rStyle w:val="9"/>
          <w:rFonts w:hint="default" w:ascii="Times New Roman" w:hAnsi="Times New Roman" w:eastAsia="Geist Fallback" w:cs="Times New Roman"/>
          <w:i w:val="0"/>
          <w:iCs w:val="0"/>
          <w:caps w:val="0"/>
          <w:spacing w:val="0"/>
          <w:sz w:val="24"/>
          <w:szCs w:val="24"/>
        </w:rPr>
        <w:t>S. cerevisiae</w:t>
      </w:r>
      <w:r>
        <w:rPr>
          <w:rFonts w:hint="default" w:ascii="Times New Roman" w:hAnsi="Times New Roman" w:eastAsia="Geist Fallback" w:cs="Times New Roman"/>
          <w:i w:val="0"/>
          <w:iCs w:val="0"/>
          <w:caps w:val="0"/>
          <w:spacing w:val="0"/>
          <w:sz w:val="24"/>
          <w:szCs w:val="24"/>
        </w:rPr>
        <w:t xml:space="preserve"> S288C chromosome III region from 71,368 to 71,802 in reference sequence NC_001135.5.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"https://www.ncbi.nlm.nih.gov/nuccore/NC_001135.5"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NCBI NC_001135.5</w:t>
      </w:r>
      <w:r>
        <w:rPr>
          <w:rFonts w:hint="default" w:ascii="Times New Roman" w:hAnsi="Times New Roman" w:eastAsia="Geist Fallback" w:cs="Times New Roman"/>
          <w:i w:val="0"/>
          <w:iCs w:val="0"/>
          <w:caps w:val="0"/>
          <w:spacing w:val="0"/>
          <w:sz w:val="24"/>
          <w:szCs w:val="24"/>
        </w:rPr>
        <w:fldChar w:fldCharType="end"/>
      </w:r>
    </w:p>
    <w:p w14:paraId="654CBD8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The complete P_FUS1–yEGFP reporter fragment used in our construction is 1,152 bp, consisting of the 435-bp FUS1 promoter region and a 717-bp yEGFP coding region.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"https://supabase.infmind.cn/storage/v1/object/public/infmind_20260424_files/09916f6a-dba8-4592-b05b-c4deadb315bf/4a3e8316-8621-4b49-8c3b-f2ed4262f7f3.docx"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FUS1–yEGFP Experimental Report</w:t>
      </w:r>
      <w:r>
        <w:rPr>
          <w:rFonts w:hint="default" w:ascii="Times New Roman" w:hAnsi="Times New Roman" w:eastAsia="Geist Fallback" w:cs="Times New Roman"/>
          <w:i w:val="0"/>
          <w:iCs w:val="0"/>
          <w:caps w:val="0"/>
          <w:spacing w:val="0"/>
          <w:sz w:val="24"/>
          <w:szCs w:val="24"/>
        </w:rPr>
        <w:fldChar w:fldCharType="end"/>
      </w:r>
    </w:p>
    <w:p w14:paraId="1C82261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We used α-factor concentrations of 0, 0.375, 0.75, 1.5, 3, 6, 12 and 24 μM to characterize the FUS1–yEGFP response system.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"https://2026.igem.wiki/szpu-china/results"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Team Results</w:t>
      </w:r>
      <w:r>
        <w:rPr>
          <w:rFonts w:hint="default" w:ascii="Times New Roman" w:hAnsi="Times New Roman" w:eastAsia="Geist Fallback" w:cs="Times New Roman"/>
          <w:i w:val="0"/>
          <w:iCs w:val="0"/>
          <w:caps w:val="0"/>
          <w:spacing w:val="0"/>
          <w:sz w:val="24"/>
          <w:szCs w:val="24"/>
        </w:rPr>
        <w:fldChar w:fldCharType="end"/>
      </w:r>
    </w:p>
    <w:p w14:paraId="73E4FCD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The reporter system showed increasing fluorescence with increasing α-factor concentration under the reported conditions.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"https://2026.igem.wiki/szpu-china/results"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Team Results</w:t>
      </w:r>
      <w:r>
        <w:rPr>
          <w:rFonts w:hint="default" w:ascii="Times New Roman" w:hAnsi="Times New Roman" w:eastAsia="Geist Fallback" w:cs="Times New Roman"/>
          <w:i w:val="0"/>
          <w:iCs w:val="0"/>
          <w:caps w:val="0"/>
          <w:spacing w:val="0"/>
          <w:sz w:val="24"/>
          <w:szCs w:val="24"/>
        </w:rPr>
        <w:fldChar w:fldCharType="end"/>
      </w:r>
    </w:p>
    <w:p w14:paraId="0C65AF2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The parental growth response also showed concentration-dependent inhibition consistent with activation of the native mating pathway.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"https://2026.igem.wiki/szpu-china/results"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Team Results</w:t>
      </w:r>
      <w:r>
        <w:rPr>
          <w:rFonts w:hint="default" w:ascii="Times New Roman" w:hAnsi="Times New Roman" w:eastAsia="Geist Fallback" w:cs="Times New Roman"/>
          <w:i w:val="0"/>
          <w:iCs w:val="0"/>
          <w:caps w:val="0"/>
          <w:spacing w:val="0"/>
          <w:sz w:val="24"/>
          <w:szCs w:val="24"/>
        </w:rPr>
        <w:fldChar w:fldCharType="end"/>
      </w:r>
    </w:p>
    <w:p w14:paraId="52A518E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These experiments support the functionality of the downstream FUS1 reporter module.</w:t>
      </w:r>
    </w:p>
    <w:p w14:paraId="13D4EDA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They do not prove that HA can activate the upstream engineered receptor.</w:t>
      </w:r>
    </w:p>
    <w:p w14:paraId="6F631B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45"/>
          <w:szCs w:val="45"/>
        </w:rPr>
      </w:pPr>
      <w:r>
        <w:rPr>
          <w:rFonts w:hint="default" w:ascii="Times New Roman" w:hAnsi="Times New Roman" w:eastAsia="Geist Fallback" w:cs="Times New Roman"/>
          <w:i w:val="0"/>
          <w:iCs w:val="0"/>
          <w:caps w:val="0"/>
          <w:spacing w:val="0"/>
          <w:sz w:val="45"/>
          <w:szCs w:val="45"/>
        </w:rPr>
        <w:t>10. Model-guided design</w:t>
      </w:r>
    </w:p>
    <w:p w14:paraId="30FCE7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36"/>
          <w:szCs w:val="36"/>
        </w:rPr>
      </w:pPr>
      <w:r>
        <w:rPr>
          <w:rFonts w:hint="default" w:ascii="Times New Roman" w:hAnsi="Times New Roman" w:eastAsia="Geist Fallback" w:cs="Times New Roman"/>
          <w:i w:val="0"/>
          <w:iCs w:val="0"/>
          <w:caps w:val="0"/>
          <w:spacing w:val="0"/>
          <w:sz w:val="36"/>
          <w:szCs w:val="36"/>
        </w:rPr>
        <w:t>10.1 Computational workflow</w:t>
      </w:r>
    </w:p>
    <w:p w14:paraId="14A963C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EchoYeast contains several molecular interfaces that are difficult to screen experimentally one by one.</w:t>
      </w:r>
    </w:p>
    <w:p w14:paraId="64E5F1D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We therefore used a computational pipeline that included AlphaFold2 or ColabFold structure prediction, ClusPro docking, HADDOCK refinement, PyMOL and SPICE interface analysis, GROMACS molecular dynamics and MM/GBSA estimation. The modeling workflow screened 17 candidate nanobody sequences and prioritized R1aB6 for further consideration. The model also investigated two candidate gating routes involving hM1Dq and Ste2p. The model proposed interface residues and mutation hypotheses that can be tested experimentally.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"https://2026.igem.wiki/szpu-china/model"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Team Model</w:t>
      </w:r>
      <w:r>
        <w:rPr>
          <w:rFonts w:hint="default" w:ascii="Times New Roman" w:hAnsi="Times New Roman" w:eastAsia="Geist Fallback" w:cs="Times New Roman"/>
          <w:i w:val="0"/>
          <w:iCs w:val="0"/>
          <w:caps w:val="0"/>
          <w:spacing w:val="0"/>
          <w:sz w:val="24"/>
          <w:szCs w:val="24"/>
        </w:rPr>
        <w:fldChar w:fldCharType="end"/>
      </w:r>
    </w:p>
    <w:p w14:paraId="137881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36"/>
          <w:szCs w:val="36"/>
        </w:rPr>
      </w:pPr>
      <w:r>
        <w:rPr>
          <w:rFonts w:hint="default" w:ascii="Times New Roman" w:hAnsi="Times New Roman" w:eastAsia="Geist Fallback" w:cs="Times New Roman"/>
          <w:i w:val="0"/>
          <w:iCs w:val="0"/>
          <w:caps w:val="0"/>
          <w:spacing w:val="0"/>
          <w:sz w:val="36"/>
          <w:szCs w:val="36"/>
        </w:rPr>
        <w:t>10.2 The limits of computational evidence</w:t>
      </w:r>
    </w:p>
    <w:p w14:paraId="5EC1347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Docking scores are not direct measurements of experimental affinity.</w:t>
      </w:r>
    </w:p>
    <w:p w14:paraId="07C22D1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A simulated complex is not proof of protein expression, membrane localization or functional signaling in yeast.</w:t>
      </w:r>
    </w:p>
    <w:p w14:paraId="061FD3D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The Model page explicitly defines the computational results as predictions that have not yet been validated by wet-lab experiments.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"https://2026.igem.wiki/szpu-china/model"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Team Model</w:t>
      </w:r>
      <w:r>
        <w:rPr>
          <w:rFonts w:hint="default" w:ascii="Times New Roman" w:hAnsi="Times New Roman" w:eastAsia="Geist Fallback" w:cs="Times New Roman"/>
          <w:i w:val="0"/>
          <w:iCs w:val="0"/>
          <w:caps w:val="0"/>
          <w:spacing w:val="0"/>
          <w:sz w:val="24"/>
          <w:szCs w:val="24"/>
        </w:rPr>
        <w:fldChar w:fldCharType="end"/>
      </w:r>
    </w:p>
    <w:p w14:paraId="1668A17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We therefore use modeling to:</w:t>
      </w:r>
    </w:p>
    <w:p w14:paraId="3148F952">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rPr>
        <w:t>narrow the candidate pool;</w:t>
      </w:r>
    </w:p>
    <w:p w14:paraId="16D97AA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rPr>
        <w:t>prioritize constructs;</w:t>
      </w:r>
    </w:p>
    <w:p w14:paraId="7762D93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rPr>
        <w:t>identify possible interface residues;</w:t>
      </w:r>
    </w:p>
    <w:p w14:paraId="6BA72C61">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rPr>
        <w:t>propose mutations;</w:t>
      </w:r>
    </w:p>
    <w:p w14:paraId="3EAF19B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rPr>
        <w:t>guide the next experimental cycle.</w:t>
      </w:r>
    </w:p>
    <w:p w14:paraId="716A2DC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The role of modeling in EchoYeast is to generate testable hypotheses, not to replace functional validation</w:t>
      </w:r>
    </w:p>
    <w:p w14:paraId="73DD83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36"/>
          <w:szCs w:val="36"/>
        </w:rPr>
      </w:pPr>
      <w:r>
        <w:rPr>
          <w:rFonts w:hint="default" w:ascii="Times New Roman" w:hAnsi="Times New Roman" w:eastAsia="Geist Fallback" w:cs="Times New Roman"/>
          <w:i w:val="0"/>
          <w:iCs w:val="0"/>
          <w:caps w:val="0"/>
          <w:spacing w:val="0"/>
          <w:sz w:val="36"/>
          <w:szCs w:val="36"/>
        </w:rPr>
        <w:t>11. Design–Build–Test–Learn</w:t>
      </w:r>
    </w:p>
    <w:p w14:paraId="3FD02D2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EchoYeast was developed through iterative Design–Build–Test–Learn (DBTL) cycles rather than a single linear workflow. The project was divided into four functional modules: chassis engineering, Gpa1 humanization, the PAGER-inspired receptor and the FUS1 reporter system.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"https://2026.igem.wiki/szpu-china/engineering"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Team Engineering</w:t>
      </w:r>
      <w:r>
        <w:rPr>
          <w:rFonts w:hint="default" w:ascii="Times New Roman" w:hAnsi="Times New Roman" w:eastAsia="Geist Fallback" w:cs="Times New Roman"/>
          <w:i w:val="0"/>
          <w:iCs w:val="0"/>
          <w:caps w:val="0"/>
          <w:spacing w:val="0"/>
          <w:sz w:val="24"/>
          <w:szCs w:val="24"/>
        </w:rPr>
        <w:fldChar w:fldCharType="end"/>
      </w:r>
    </w:p>
    <w:p w14:paraId="52BFE81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30"/>
          <w:szCs w:val="30"/>
        </w:rPr>
      </w:pPr>
      <w:r>
        <w:rPr>
          <w:rFonts w:hint="default" w:ascii="Times New Roman" w:hAnsi="Times New Roman" w:eastAsia="Geist Fallback" w:cs="Times New Roman"/>
          <w:i w:val="0"/>
          <w:iCs w:val="0"/>
          <w:caps w:val="0"/>
          <w:spacing w:val="0"/>
          <w:sz w:val="30"/>
          <w:szCs w:val="30"/>
        </w:rPr>
        <w:t>Design</w:t>
      </w:r>
    </w:p>
    <w:p w14:paraId="152BED8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We designed the FUS1–yEGFP and FUS1–MEL1 reporter routes, FAR1/SST2 chassis modifications, the Gpa1–Gαq chimera, the PAGER-inspired HA-gated receptor and a temperature-controlled optical readout module.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"https://2026.igem.wiki/szpu-china/design"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Team Design</w:t>
      </w:r>
      <w:r>
        <w:rPr>
          <w:rFonts w:hint="default" w:ascii="Times New Roman" w:hAnsi="Times New Roman" w:eastAsia="Geist Fallback" w:cs="Times New Roman"/>
          <w:i w:val="0"/>
          <w:iCs w:val="0"/>
          <w:caps w:val="0"/>
          <w:spacing w:val="0"/>
          <w:sz w:val="24"/>
          <w:szCs w:val="24"/>
        </w:rPr>
        <w:fldChar w:fldCharType="end"/>
      </w:r>
    </w:p>
    <w:p w14:paraId="147248B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30"/>
          <w:szCs w:val="30"/>
        </w:rPr>
      </w:pPr>
      <w:r>
        <w:rPr>
          <w:rFonts w:hint="default" w:ascii="Times New Roman" w:hAnsi="Times New Roman" w:eastAsia="Geist Fallback" w:cs="Times New Roman"/>
          <w:i w:val="0"/>
          <w:iCs w:val="0"/>
          <w:caps w:val="0"/>
          <w:spacing w:val="0"/>
          <w:sz w:val="30"/>
          <w:szCs w:val="30"/>
        </w:rPr>
        <w:t>Build</w:t>
      </w:r>
    </w:p>
    <w:p w14:paraId="146BA0A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The designed modules were constructed through plasmid assembly, PCR-based donor construction, CRISPR–Cas9 genome editing, yeast transformation and reporter/hardware development. For Gpa1 humanization, the initial Gibson-assembly strategy was replaced by overlap-extension fusion PCR after sequence mutations were identified in the first donor-construction cycle.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"https://2026.igem.wiki/szpu-china/engineering"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Team Engineering</w:t>
      </w:r>
      <w:r>
        <w:rPr>
          <w:rFonts w:hint="default" w:ascii="Times New Roman" w:hAnsi="Times New Roman" w:eastAsia="Geist Fallback" w:cs="Times New Roman"/>
          <w:i w:val="0"/>
          <w:iCs w:val="0"/>
          <w:caps w:val="0"/>
          <w:spacing w:val="0"/>
          <w:sz w:val="24"/>
          <w:szCs w:val="24"/>
        </w:rPr>
        <w:fldChar w:fldCharType="end"/>
      </w:r>
      <w:r>
        <w:rPr>
          <w:rFonts w:hint="default" w:ascii="Times New Roman" w:hAnsi="Times New Roman" w:eastAsia="Geist Fallback" w:cs="Times New Roman"/>
          <w:i w:val="0"/>
          <w:iCs w:val="0"/>
          <w:caps w:val="0"/>
          <w:spacing w:val="0"/>
          <w:sz w:val="24"/>
          <w:szCs w:val="24"/>
        </w:rPr>
        <w:t xml:space="preserve">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"https://2026.igem.wiki/szpu-china/results"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Team Results</w:t>
      </w:r>
      <w:r>
        <w:rPr>
          <w:rFonts w:hint="default" w:ascii="Times New Roman" w:hAnsi="Times New Roman" w:eastAsia="Geist Fallback" w:cs="Times New Roman"/>
          <w:i w:val="0"/>
          <w:iCs w:val="0"/>
          <w:caps w:val="0"/>
          <w:spacing w:val="0"/>
          <w:sz w:val="24"/>
          <w:szCs w:val="24"/>
        </w:rPr>
        <w:fldChar w:fldCharType="end"/>
      </w:r>
    </w:p>
    <w:p w14:paraId="417668C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30"/>
          <w:szCs w:val="30"/>
        </w:rPr>
      </w:pPr>
      <w:r>
        <w:rPr>
          <w:rFonts w:hint="default" w:ascii="Times New Roman" w:hAnsi="Times New Roman" w:eastAsia="Geist Fallback" w:cs="Times New Roman"/>
          <w:i w:val="0"/>
          <w:iCs w:val="0"/>
          <w:caps w:val="0"/>
          <w:spacing w:val="0"/>
          <w:sz w:val="30"/>
          <w:szCs w:val="30"/>
        </w:rPr>
        <w:t>Test</w:t>
      </w:r>
    </w:p>
    <w:p w14:paraId="3C86E87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We tested the reporter system by α-factor induction and fluorescence measurement, evaluated engineered chassis strains through growth and fluorescence assays, verified genome-editing and Gpa1-humanization events by colony PCR and Sanger sequencing, and assessed receptor constructs using protein detection and HA/DCZ stimulation experiments.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"https://2026.igem.wiki/szpu-china/results"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Team Results</w:t>
      </w:r>
      <w:r>
        <w:rPr>
          <w:rFonts w:hint="default" w:ascii="Times New Roman" w:hAnsi="Times New Roman" w:eastAsia="Geist Fallback" w:cs="Times New Roman"/>
          <w:i w:val="0"/>
          <w:iCs w:val="0"/>
          <w:caps w:val="0"/>
          <w:spacing w:val="0"/>
          <w:sz w:val="24"/>
          <w:szCs w:val="24"/>
        </w:rPr>
        <w:fldChar w:fldCharType="end"/>
      </w:r>
    </w:p>
    <w:p w14:paraId="1F26D2D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30"/>
          <w:szCs w:val="30"/>
        </w:rPr>
      </w:pPr>
      <w:r>
        <w:rPr>
          <w:rFonts w:hint="default" w:ascii="Times New Roman" w:hAnsi="Times New Roman" w:eastAsia="Geist Fallback" w:cs="Times New Roman"/>
          <w:i w:val="0"/>
          <w:iCs w:val="0"/>
          <w:caps w:val="0"/>
          <w:spacing w:val="0"/>
          <w:sz w:val="30"/>
          <w:szCs w:val="30"/>
        </w:rPr>
        <w:t>Learn</w:t>
      </w:r>
    </w:p>
    <w:p w14:paraId="66D9C96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Each cycle informed the next design. The reporter cycles established the FUS1–yEGFP route as a functional downstream output and guided subsequent reporter optimization. The chassis cycles led to a plasmid-free ΔFAR1 ΔSST2 strain with enhanced α-factor-induced fluorescence. The Gpa1-humanization cycles led to correctly genotyped strains 12 and 17, which showed reduced native α-factor-induced morphology, growth inhibition and FUS1–yEGFP fluorescence.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"https://2026.igem.wiki/szpu-china/engineering"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Team Engineering</w:t>
      </w:r>
      <w:r>
        <w:rPr>
          <w:rFonts w:hint="default" w:ascii="Times New Roman" w:hAnsi="Times New Roman" w:eastAsia="Geist Fallback" w:cs="Times New Roman"/>
          <w:i w:val="0"/>
          <w:iCs w:val="0"/>
          <w:caps w:val="0"/>
          <w:spacing w:val="0"/>
          <w:sz w:val="24"/>
          <w:szCs w:val="24"/>
        </w:rPr>
        <w:fldChar w:fldCharType="end"/>
      </w:r>
      <w:r>
        <w:rPr>
          <w:rFonts w:hint="default" w:ascii="Times New Roman" w:hAnsi="Times New Roman" w:eastAsia="Geist Fallback" w:cs="Times New Roman"/>
          <w:i w:val="0"/>
          <w:iCs w:val="0"/>
          <w:caps w:val="0"/>
          <w:spacing w:val="0"/>
          <w:sz w:val="24"/>
          <w:szCs w:val="24"/>
        </w:rPr>
        <w:t xml:space="preserve">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"https://2026.igem.wiki/szpu-china/results"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Team Results</w:t>
      </w:r>
      <w:r>
        <w:rPr>
          <w:rFonts w:hint="default" w:ascii="Times New Roman" w:hAnsi="Times New Roman" w:eastAsia="Geist Fallback" w:cs="Times New Roman"/>
          <w:i w:val="0"/>
          <w:iCs w:val="0"/>
          <w:caps w:val="0"/>
          <w:spacing w:val="0"/>
          <w:sz w:val="24"/>
          <w:szCs w:val="24"/>
        </w:rPr>
        <w:fldChar w:fldCharType="end"/>
      </w:r>
    </w:p>
    <w:p w14:paraId="502CD51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The receptor cycles revealed that expression, localization, autoinhibition and functional coupling must be optimized separately. Although the downstream reporter platform and several upstream modules have been established, the complete HA-gated receptor-to-reporter pathway remains to be validated.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"https://2026.igem.wiki/szpu-china/results"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Team Results</w:t>
      </w:r>
      <w:r>
        <w:rPr>
          <w:rFonts w:hint="default" w:ascii="Times New Roman" w:hAnsi="Times New Roman" w:eastAsia="Geist Fallback" w:cs="Times New Roman"/>
          <w:i w:val="0"/>
          <w:iCs w:val="0"/>
          <w:caps w:val="0"/>
          <w:spacing w:val="0"/>
          <w:sz w:val="24"/>
          <w:szCs w:val="24"/>
        </w:rPr>
        <w:fldChar w:fldCharType="end"/>
      </w:r>
    </w:p>
    <w:p w14:paraId="38317D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45"/>
          <w:szCs w:val="45"/>
        </w:rPr>
      </w:pPr>
      <w:r>
        <w:rPr>
          <w:rFonts w:hint="default" w:ascii="Times New Roman" w:hAnsi="Times New Roman" w:eastAsia="Geist Fallback" w:cs="Times New Roman"/>
          <w:i w:val="0"/>
          <w:iCs w:val="0"/>
          <w:caps w:val="0"/>
          <w:spacing w:val="0"/>
          <w:sz w:val="45"/>
          <w:szCs w:val="45"/>
          <w:bdr w:val="none" w:color="auto" w:sz="0" w:space="0"/>
        </w:rPr>
        <w:t>12. From engineered cells to a detection concept</w:t>
      </w:r>
    </w:p>
    <w:p w14:paraId="674188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36"/>
          <w:szCs w:val="36"/>
        </w:rPr>
      </w:pPr>
      <w:r>
        <w:rPr>
          <w:rFonts w:hint="default" w:ascii="Times New Roman" w:hAnsi="Times New Roman" w:eastAsia="Geist Fallback" w:cs="Times New Roman"/>
          <w:i w:val="0"/>
          <w:iCs w:val="0"/>
          <w:caps w:val="0"/>
          <w:spacing w:val="0"/>
          <w:sz w:val="36"/>
          <w:szCs w:val="36"/>
          <w:bdr w:val="none" w:color="auto" w:sz="0" w:space="0"/>
        </w:rPr>
        <w:t>12.1 Hardware development</w:t>
      </w:r>
    </w:p>
    <w:p w14:paraId="49F558B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bdr w:val="none" w:color="auto" w:sz="0" w:space="0"/>
        </w:rPr>
        <w:t xml:space="preserve">Our hardware work focuses on creating a compact environment for culturing engineered yeast and reading its optical output. The system is designed to maintain the culture at approximately 30 °C, excite yEGFP at 485 nm and collect fluorescence near 528 nm. The excitation and collection paths are arranged approximately at 90° to reduce direct excitation-light interference. </w:t>
      </w:r>
      <w:r>
        <w:rPr>
          <w:rFonts w:hint="default" w:ascii="Times New Roman" w:hAnsi="Times New Roman" w:eastAsia="Geist Fallback" w:cs="Times New Roman"/>
          <w:i w:val="0"/>
          <w:iCs w:val="0"/>
          <w:caps w:val="0"/>
          <w:spacing w:val="0"/>
          <w:sz w:val="24"/>
          <w:szCs w:val="24"/>
          <w:bdr w:val="none" w:color="auto" w:sz="0" w:space="0"/>
        </w:rPr>
        <w:fldChar w:fldCharType="begin"/>
      </w:r>
      <w:r>
        <w:rPr>
          <w:rFonts w:hint="default" w:ascii="Times New Roman" w:hAnsi="Times New Roman" w:eastAsia="Geist Fallback" w:cs="Times New Roman"/>
          <w:i w:val="0"/>
          <w:iCs w:val="0"/>
          <w:caps w:val="0"/>
          <w:spacing w:val="0"/>
          <w:sz w:val="24"/>
          <w:szCs w:val="24"/>
          <w:bdr w:val="none" w:color="auto" w:sz="0" w:space="0"/>
        </w:rPr>
        <w:instrText xml:space="preserve"> HYPERLINK "https://2026.igem.wiki/szpu-china/hardware" \t "https://infmind.cn/chat/_blank" </w:instrText>
      </w:r>
      <w:r>
        <w:rPr>
          <w:rFonts w:hint="default" w:ascii="Times New Roman" w:hAnsi="Times New Roman" w:eastAsia="Geist Fallback" w:cs="Times New Roman"/>
          <w:i w:val="0"/>
          <w:iCs w:val="0"/>
          <w:caps w:val="0"/>
          <w:spacing w:val="0"/>
          <w:sz w:val="24"/>
          <w:szCs w:val="24"/>
          <w:bdr w:val="none" w:color="auto" w:sz="0" w:space="0"/>
        </w:rPr>
        <w:fldChar w:fldCharType="separate"/>
      </w:r>
      <w:r>
        <w:rPr>
          <w:rStyle w:val="10"/>
          <w:rFonts w:hint="default" w:ascii="Times New Roman" w:hAnsi="Times New Roman" w:eastAsia="Geist Fallback" w:cs="Times New Roman"/>
          <w:i w:val="0"/>
          <w:iCs w:val="0"/>
          <w:caps w:val="0"/>
          <w:spacing w:val="0"/>
          <w:sz w:val="24"/>
          <w:szCs w:val="24"/>
          <w:bdr w:val="none" w:color="auto" w:sz="0" w:space="0"/>
        </w:rPr>
        <w:t>Team Hardware</w:t>
      </w:r>
      <w:r>
        <w:rPr>
          <w:rFonts w:hint="default" w:ascii="Times New Roman" w:hAnsi="Times New Roman" w:eastAsia="Geist Fallback" w:cs="Times New Roman"/>
          <w:i w:val="0"/>
          <w:iCs w:val="0"/>
          <w:caps w:val="0"/>
          <w:spacing w:val="0"/>
          <w:sz w:val="24"/>
          <w:szCs w:val="24"/>
          <w:bdr w:val="none" w:color="auto" w:sz="0" w:space="0"/>
        </w:rPr>
        <w:fldChar w:fldCharType="end"/>
      </w:r>
    </w:p>
    <w:p w14:paraId="2F11C9B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bdr w:val="none" w:color="auto" w:sz="0" w:space="0"/>
        </w:rPr>
        <w:t xml:space="preserve">The hardware design includes a temperature-control module, a fluorescence-excitation module and a signal-acquisition module. Temperature is monitored using a PT100 sensor and MAX31865 interface, while the optical readout uses a 485-nm LED, a BPW34 photodiode, transimpedance amplification and an ADS1115 analog-to-digital converter controlled by an Arduino Nano. </w:t>
      </w:r>
      <w:r>
        <w:rPr>
          <w:rFonts w:hint="default" w:ascii="Times New Roman" w:hAnsi="Times New Roman" w:eastAsia="Geist Fallback" w:cs="Times New Roman"/>
          <w:i w:val="0"/>
          <w:iCs w:val="0"/>
          <w:caps w:val="0"/>
          <w:spacing w:val="0"/>
          <w:sz w:val="24"/>
          <w:szCs w:val="24"/>
          <w:bdr w:val="none" w:color="auto" w:sz="0" w:space="0"/>
        </w:rPr>
        <w:fldChar w:fldCharType="begin"/>
      </w:r>
      <w:r>
        <w:rPr>
          <w:rFonts w:hint="default" w:ascii="Times New Roman" w:hAnsi="Times New Roman" w:eastAsia="Geist Fallback" w:cs="Times New Roman"/>
          <w:i w:val="0"/>
          <w:iCs w:val="0"/>
          <w:caps w:val="0"/>
          <w:spacing w:val="0"/>
          <w:sz w:val="24"/>
          <w:szCs w:val="24"/>
          <w:bdr w:val="none" w:color="auto" w:sz="0" w:space="0"/>
        </w:rPr>
        <w:instrText xml:space="preserve"> HYPERLINK "https://2026.igem.wiki/szpu-china/hardware" \t "https://infmind.cn/chat/_blank" </w:instrText>
      </w:r>
      <w:r>
        <w:rPr>
          <w:rFonts w:hint="default" w:ascii="Times New Roman" w:hAnsi="Times New Roman" w:eastAsia="Geist Fallback" w:cs="Times New Roman"/>
          <w:i w:val="0"/>
          <w:iCs w:val="0"/>
          <w:caps w:val="0"/>
          <w:spacing w:val="0"/>
          <w:sz w:val="24"/>
          <w:szCs w:val="24"/>
          <w:bdr w:val="none" w:color="auto" w:sz="0" w:space="0"/>
        </w:rPr>
        <w:fldChar w:fldCharType="separate"/>
      </w:r>
      <w:r>
        <w:rPr>
          <w:rStyle w:val="10"/>
          <w:rFonts w:hint="default" w:ascii="Times New Roman" w:hAnsi="Times New Roman" w:eastAsia="Geist Fallback" w:cs="Times New Roman"/>
          <w:i w:val="0"/>
          <w:iCs w:val="0"/>
          <w:caps w:val="0"/>
          <w:spacing w:val="0"/>
          <w:sz w:val="24"/>
          <w:szCs w:val="24"/>
          <w:bdr w:val="none" w:color="auto" w:sz="0" w:space="0"/>
        </w:rPr>
        <w:t>Team Hardware</w:t>
      </w:r>
      <w:r>
        <w:rPr>
          <w:rFonts w:hint="default" w:ascii="Times New Roman" w:hAnsi="Times New Roman" w:eastAsia="Geist Fallback" w:cs="Times New Roman"/>
          <w:i w:val="0"/>
          <w:iCs w:val="0"/>
          <w:caps w:val="0"/>
          <w:spacing w:val="0"/>
          <w:sz w:val="24"/>
          <w:szCs w:val="24"/>
          <w:bdr w:val="none" w:color="auto" w:sz="0" w:space="0"/>
        </w:rPr>
        <w:fldChar w:fldCharType="end"/>
      </w:r>
    </w:p>
    <w:p w14:paraId="5A3C59D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bdr w:val="none" w:color="auto" w:sz="0" w:space="0"/>
        </w:rPr>
        <w:t xml:space="preserve">The collection vessel, heated block, optical interfaces and electronic circuit were iteratively redesigned to improve component placement, optical alignment and assembly. A standard cuvette was also used during the testing stage to evaluate temperature control and optical alignment before finalizing the custom vessel. </w:t>
      </w:r>
      <w:r>
        <w:rPr>
          <w:rFonts w:hint="default" w:ascii="Times New Roman" w:hAnsi="Times New Roman" w:eastAsia="Geist Fallback" w:cs="Times New Roman"/>
          <w:i w:val="0"/>
          <w:iCs w:val="0"/>
          <w:caps w:val="0"/>
          <w:spacing w:val="0"/>
          <w:sz w:val="24"/>
          <w:szCs w:val="24"/>
          <w:bdr w:val="none" w:color="auto" w:sz="0" w:space="0"/>
        </w:rPr>
        <w:fldChar w:fldCharType="begin"/>
      </w:r>
      <w:r>
        <w:rPr>
          <w:rFonts w:hint="default" w:ascii="Times New Roman" w:hAnsi="Times New Roman" w:eastAsia="Geist Fallback" w:cs="Times New Roman"/>
          <w:i w:val="0"/>
          <w:iCs w:val="0"/>
          <w:caps w:val="0"/>
          <w:spacing w:val="0"/>
          <w:sz w:val="24"/>
          <w:szCs w:val="24"/>
          <w:bdr w:val="none" w:color="auto" w:sz="0" w:space="0"/>
        </w:rPr>
        <w:instrText xml:space="preserve"> HYPERLINK "https://2026.igem.wiki/szpu-china/hardware" \t "https://infmind.cn/chat/_blank" </w:instrText>
      </w:r>
      <w:r>
        <w:rPr>
          <w:rFonts w:hint="default" w:ascii="Times New Roman" w:hAnsi="Times New Roman" w:eastAsia="Geist Fallback" w:cs="Times New Roman"/>
          <w:i w:val="0"/>
          <w:iCs w:val="0"/>
          <w:caps w:val="0"/>
          <w:spacing w:val="0"/>
          <w:sz w:val="24"/>
          <w:szCs w:val="24"/>
          <w:bdr w:val="none" w:color="auto" w:sz="0" w:space="0"/>
        </w:rPr>
        <w:fldChar w:fldCharType="separate"/>
      </w:r>
      <w:r>
        <w:rPr>
          <w:rStyle w:val="10"/>
          <w:rFonts w:hint="default" w:ascii="Times New Roman" w:hAnsi="Times New Roman" w:eastAsia="Geist Fallback" w:cs="Times New Roman"/>
          <w:i w:val="0"/>
          <w:iCs w:val="0"/>
          <w:caps w:val="0"/>
          <w:spacing w:val="0"/>
          <w:sz w:val="24"/>
          <w:szCs w:val="24"/>
          <w:bdr w:val="none" w:color="auto" w:sz="0" w:space="0"/>
        </w:rPr>
        <w:t>Team Hardware</w:t>
      </w:r>
      <w:r>
        <w:rPr>
          <w:rFonts w:hint="default" w:ascii="Times New Roman" w:hAnsi="Times New Roman" w:eastAsia="Geist Fallback" w:cs="Times New Roman"/>
          <w:i w:val="0"/>
          <w:iCs w:val="0"/>
          <w:caps w:val="0"/>
          <w:spacing w:val="0"/>
          <w:sz w:val="24"/>
          <w:szCs w:val="24"/>
          <w:bdr w:val="none" w:color="auto" w:sz="0" w:space="0"/>
        </w:rPr>
        <w:fldChar w:fldCharType="end"/>
      </w:r>
    </w:p>
    <w:p w14:paraId="0F1E3A9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bdr w:val="none" w:color="auto" w:sz="0" w:space="0"/>
        </w:rPr>
        <w:t>At this stage, the hardware demonstrates the development of incubation and optical-readout modules. It should not yet be interpreted as a completed field-deployable influenza detector.</w:t>
      </w:r>
    </w:p>
    <w:p w14:paraId="7F44EC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36"/>
          <w:szCs w:val="36"/>
        </w:rPr>
      </w:pPr>
      <w:r>
        <w:rPr>
          <w:rFonts w:hint="default" w:ascii="Times New Roman" w:hAnsi="Times New Roman" w:eastAsia="Geist Fallback" w:cs="Times New Roman"/>
          <w:i w:val="0"/>
          <w:iCs w:val="0"/>
          <w:caps w:val="0"/>
          <w:spacing w:val="0"/>
          <w:sz w:val="36"/>
          <w:szCs w:val="36"/>
          <w:bdr w:val="none" w:color="auto" w:sz="0" w:space="0"/>
        </w:rPr>
        <w:t>12.2 Integrating sampling with biological sensing</w:t>
      </w:r>
    </w:p>
    <w:p w14:paraId="6FC6C77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bdr w:val="none" w:color="auto" w:sz="0" w:space="0"/>
        </w:rPr>
        <w:t xml:space="preserve">Airborne-virus monitoring is commonly divided into two steps: aerosol collection followed by laboratory analysis. Sampling efficiency, particle size and target recovery can strongly influence the final result. </w:t>
      </w:r>
      <w:r>
        <w:rPr>
          <w:rFonts w:hint="default" w:ascii="Times New Roman" w:hAnsi="Times New Roman" w:eastAsia="Geist Fallback" w:cs="Times New Roman"/>
          <w:i w:val="0"/>
          <w:iCs w:val="0"/>
          <w:caps w:val="0"/>
          <w:spacing w:val="0"/>
          <w:sz w:val="24"/>
          <w:szCs w:val="24"/>
          <w:bdr w:val="none" w:color="auto" w:sz="0" w:space="0"/>
        </w:rPr>
        <w:fldChar w:fldCharType="begin"/>
      </w:r>
      <w:r>
        <w:rPr>
          <w:rFonts w:hint="default" w:ascii="Times New Roman" w:hAnsi="Times New Roman" w:eastAsia="Geist Fallback" w:cs="Times New Roman"/>
          <w:i w:val="0"/>
          <w:iCs w:val="0"/>
          <w:caps w:val="0"/>
          <w:spacing w:val="0"/>
          <w:sz w:val="24"/>
          <w:szCs w:val="24"/>
          <w:bdr w:val="none" w:color="auto" w:sz="0" w:space="0"/>
        </w:rPr>
        <w:instrText xml:space="preserve"> HYPERLINK "https://pubmed.ncbi.nlm.nih.gov/30974505/" \t "https://infmind.cn/chat/_blank" </w:instrText>
      </w:r>
      <w:r>
        <w:rPr>
          <w:rFonts w:hint="default" w:ascii="Times New Roman" w:hAnsi="Times New Roman" w:eastAsia="Geist Fallback" w:cs="Times New Roman"/>
          <w:i w:val="0"/>
          <w:iCs w:val="0"/>
          <w:caps w:val="0"/>
          <w:spacing w:val="0"/>
          <w:sz w:val="24"/>
          <w:szCs w:val="24"/>
          <w:bdr w:val="none" w:color="auto" w:sz="0" w:space="0"/>
        </w:rPr>
        <w:fldChar w:fldCharType="separate"/>
      </w:r>
      <w:r>
        <w:rPr>
          <w:rStyle w:val="10"/>
          <w:rFonts w:hint="default" w:ascii="Times New Roman" w:hAnsi="Times New Roman" w:eastAsia="Geist Fallback" w:cs="Times New Roman"/>
          <w:i w:val="0"/>
          <w:iCs w:val="0"/>
          <w:caps w:val="0"/>
          <w:spacing w:val="0"/>
          <w:sz w:val="24"/>
          <w:szCs w:val="24"/>
          <w:bdr w:val="none" w:color="auto" w:sz="0" w:space="0"/>
        </w:rPr>
        <w:t>6</w:t>
      </w:r>
      <w:r>
        <w:rPr>
          <w:rFonts w:hint="default" w:ascii="Times New Roman" w:hAnsi="Times New Roman" w:eastAsia="Geist Fallback" w:cs="Times New Roman"/>
          <w:i w:val="0"/>
          <w:iCs w:val="0"/>
          <w:caps w:val="0"/>
          <w:spacing w:val="0"/>
          <w:sz w:val="24"/>
          <w:szCs w:val="24"/>
          <w:bdr w:val="none" w:color="auto" w:sz="0" w:space="0"/>
        </w:rPr>
        <w:fldChar w:fldCharType="end"/>
      </w:r>
    </w:p>
    <w:p w14:paraId="6550CC5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bdr w:val="none" w:color="auto" w:sz="0" w:space="0"/>
        </w:rPr>
        <w:t>EchoYeast explores whether the liquid receiving phase of an aerosol sampler could also serve as the environment in which engineered yeast responds to the collected material. This concept could reduce sample-transfer steps and connect sampling with biological signal generation.</w:t>
      </w:r>
    </w:p>
    <w:p w14:paraId="7FA299E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bdr w:val="none" w:color="auto" w:sz="0" w:space="0"/>
        </w:rPr>
        <w:t>However, this remains an integration hypothesis rather than a validated air-detection result. The complete workflow still requires independent evaluation of aerosol collection efficiency, target recovery, antigen preservation, sample-matrix compatibility, evaporation, foaming, nonspecific interference, optical background and waste containment.</w:t>
      </w:r>
    </w:p>
    <w:p w14:paraId="1DDC4E5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bdr w:val="none" w:color="auto" w:sz="0" w:space="0"/>
        </w:rPr>
        <w:t>Therefore, our current hardware contribution is the development of a temperature-controlled and optical-readout platform that could support future sampling integration, rather than proof that the complete sampling–response–readout workflow already functions.</w:t>
      </w:r>
    </w:p>
    <w:p w14:paraId="089AE45C">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6DC46E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45"/>
          <w:szCs w:val="45"/>
        </w:rPr>
      </w:pPr>
      <w:r>
        <w:rPr>
          <w:rFonts w:hint="default" w:ascii="Times New Roman" w:hAnsi="Times New Roman" w:eastAsia="Geist Fallback" w:cs="Times New Roman"/>
          <w:i w:val="0"/>
          <w:iCs w:val="0"/>
          <w:caps w:val="0"/>
          <w:spacing w:val="0"/>
          <w:sz w:val="45"/>
          <w:szCs w:val="45"/>
          <w:bdr w:val="none" w:color="auto" w:sz="0" w:space="0"/>
        </w:rPr>
        <w:t>13. Human Practices and application boundaries</w:t>
      </w:r>
    </w:p>
    <w:p w14:paraId="3D3390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36"/>
          <w:szCs w:val="36"/>
        </w:rPr>
      </w:pPr>
      <w:r>
        <w:rPr>
          <w:rFonts w:hint="default" w:ascii="Times New Roman" w:hAnsi="Times New Roman" w:eastAsia="Geist Fallback" w:cs="Times New Roman"/>
          <w:i w:val="0"/>
          <w:iCs w:val="0"/>
          <w:caps w:val="0"/>
          <w:spacing w:val="0"/>
          <w:sz w:val="36"/>
          <w:szCs w:val="36"/>
          <w:bdr w:val="none" w:color="auto" w:sz="0" w:space="0"/>
        </w:rPr>
        <w:t>13.1 From detection to risk information</w:t>
      </w:r>
    </w:p>
    <w:p w14:paraId="4C489F9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bdr w:val="none" w:color="auto" w:sz="0" w:space="0"/>
        </w:rPr>
        <w:t xml:space="preserve">Our Human Practices work involved clinicians, disease-control professionals, regulatory personnel, synthetic-biology researchers, engineers, educators and potential users. Their feedback highlighted the importance of effective measurement range, sampling conditions, response time, specificity, false-positive control, cost and standardization. </w:t>
      </w:r>
      <w:r>
        <w:rPr>
          <w:rFonts w:hint="default" w:ascii="Times New Roman" w:hAnsi="Times New Roman" w:eastAsia="Geist Fallback" w:cs="Times New Roman"/>
          <w:i w:val="0"/>
          <w:iCs w:val="0"/>
          <w:caps w:val="0"/>
          <w:spacing w:val="0"/>
          <w:sz w:val="24"/>
          <w:szCs w:val="24"/>
          <w:bdr w:val="none" w:color="auto" w:sz="0" w:space="0"/>
        </w:rPr>
        <w:fldChar w:fldCharType="begin"/>
      </w:r>
      <w:r>
        <w:rPr>
          <w:rFonts w:hint="default" w:ascii="Times New Roman" w:hAnsi="Times New Roman" w:eastAsia="Geist Fallback" w:cs="Times New Roman"/>
          <w:i w:val="0"/>
          <w:iCs w:val="0"/>
          <w:caps w:val="0"/>
          <w:spacing w:val="0"/>
          <w:sz w:val="24"/>
          <w:szCs w:val="24"/>
          <w:bdr w:val="none" w:color="auto" w:sz="0" w:space="0"/>
        </w:rPr>
        <w:instrText xml:space="preserve"> HYPERLINK "https://2026.igem.wiki/szpu-china/human-practices" \t "https://infmind.cn/chat/_blank" </w:instrText>
      </w:r>
      <w:r>
        <w:rPr>
          <w:rFonts w:hint="default" w:ascii="Times New Roman" w:hAnsi="Times New Roman" w:eastAsia="Geist Fallback" w:cs="Times New Roman"/>
          <w:i w:val="0"/>
          <w:iCs w:val="0"/>
          <w:caps w:val="0"/>
          <w:spacing w:val="0"/>
          <w:sz w:val="24"/>
          <w:szCs w:val="24"/>
          <w:bdr w:val="none" w:color="auto" w:sz="0" w:space="0"/>
        </w:rPr>
        <w:fldChar w:fldCharType="separate"/>
      </w:r>
      <w:r>
        <w:rPr>
          <w:rStyle w:val="10"/>
          <w:rFonts w:hint="default" w:ascii="Times New Roman" w:hAnsi="Times New Roman" w:eastAsia="Geist Fallback" w:cs="Times New Roman"/>
          <w:i w:val="0"/>
          <w:iCs w:val="0"/>
          <w:caps w:val="0"/>
          <w:spacing w:val="0"/>
          <w:sz w:val="24"/>
          <w:szCs w:val="24"/>
          <w:bdr w:val="none" w:color="auto" w:sz="0" w:space="0"/>
        </w:rPr>
        <w:t>Team Human Practices</w:t>
      </w:r>
      <w:r>
        <w:rPr>
          <w:rFonts w:hint="default" w:ascii="Times New Roman" w:hAnsi="Times New Roman" w:eastAsia="Geist Fallback" w:cs="Times New Roman"/>
          <w:i w:val="0"/>
          <w:iCs w:val="0"/>
          <w:caps w:val="0"/>
          <w:spacing w:val="0"/>
          <w:sz w:val="24"/>
          <w:szCs w:val="24"/>
          <w:bdr w:val="none" w:color="auto" w:sz="0" w:space="0"/>
        </w:rPr>
        <w:fldChar w:fldCharType="end"/>
      </w:r>
    </w:p>
    <w:p w14:paraId="3587441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bdr w:val="none" w:color="auto" w:sz="0" w:space="0"/>
        </w:rPr>
        <w:t xml:space="preserve">These discussions helped us refine the application position of EchoYeast. Rather than presenting the project as a general portable virus detector, we define it as a platform exploring </w:t>
      </w:r>
      <w:r>
        <w:rPr>
          <w:rFonts w:hint="default" w:ascii="Times New Roman" w:hAnsi="Times New Roman" w:eastAsia="Geist Fallback" w:cs="Times New Roman"/>
          <w:b/>
          <w:bCs/>
          <w:i w:val="0"/>
          <w:iCs w:val="0"/>
          <w:caps w:val="0"/>
          <w:spacing w:val="0"/>
          <w:sz w:val="24"/>
          <w:szCs w:val="24"/>
          <w:bdr w:val="none" w:color="auto" w:sz="0" w:space="0"/>
        </w:rPr>
        <w:t>environmental or controlled-breath risk screening, not individual diagnosis</w:t>
      </w:r>
      <w:r>
        <w:rPr>
          <w:rFonts w:hint="default" w:ascii="Times New Roman" w:hAnsi="Times New Roman" w:eastAsia="Geist Fallback" w:cs="Times New Roman"/>
          <w:i w:val="0"/>
          <w:iCs w:val="0"/>
          <w:caps w:val="0"/>
          <w:spacing w:val="0"/>
          <w:sz w:val="24"/>
          <w:szCs w:val="24"/>
          <w:bdr w:val="none" w:color="auto" w:sz="0" w:space="0"/>
        </w:rPr>
        <w:t>.</w:t>
      </w:r>
    </w:p>
    <w:p w14:paraId="28B2C8B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bdr w:val="none" w:color="auto" w:sz="0" w:space="0"/>
        </w:rPr>
        <w:t xml:space="preserve">For early validation, controlled sampling conditions, such as a defined exhaled-breath setup or a controlled chamber, may be more suitable than open-air environmental sampling because they allow better control of sampling variables. </w:t>
      </w:r>
      <w:r>
        <w:rPr>
          <w:rFonts w:hint="default" w:ascii="Times New Roman" w:hAnsi="Times New Roman" w:eastAsia="Geist Fallback" w:cs="Times New Roman"/>
          <w:i w:val="0"/>
          <w:iCs w:val="0"/>
          <w:caps w:val="0"/>
          <w:spacing w:val="0"/>
          <w:sz w:val="24"/>
          <w:szCs w:val="24"/>
          <w:bdr w:val="none" w:color="auto" w:sz="0" w:space="0"/>
        </w:rPr>
        <w:fldChar w:fldCharType="begin"/>
      </w:r>
      <w:r>
        <w:rPr>
          <w:rFonts w:hint="default" w:ascii="Times New Roman" w:hAnsi="Times New Roman" w:eastAsia="Geist Fallback" w:cs="Times New Roman"/>
          <w:i w:val="0"/>
          <w:iCs w:val="0"/>
          <w:caps w:val="0"/>
          <w:spacing w:val="0"/>
          <w:sz w:val="24"/>
          <w:szCs w:val="24"/>
          <w:bdr w:val="none" w:color="auto" w:sz="0" w:space="0"/>
        </w:rPr>
        <w:instrText xml:space="preserve"> HYPERLINK "https://2026.igem.wiki/szpu-china/human-practices" \t "https://infmind.cn/chat/_blank" </w:instrText>
      </w:r>
      <w:r>
        <w:rPr>
          <w:rFonts w:hint="default" w:ascii="Times New Roman" w:hAnsi="Times New Roman" w:eastAsia="Geist Fallback" w:cs="Times New Roman"/>
          <w:i w:val="0"/>
          <w:iCs w:val="0"/>
          <w:caps w:val="0"/>
          <w:spacing w:val="0"/>
          <w:sz w:val="24"/>
          <w:szCs w:val="24"/>
          <w:bdr w:val="none" w:color="auto" w:sz="0" w:space="0"/>
        </w:rPr>
        <w:fldChar w:fldCharType="separate"/>
      </w:r>
      <w:r>
        <w:rPr>
          <w:rStyle w:val="10"/>
          <w:rFonts w:hint="default" w:ascii="Times New Roman" w:hAnsi="Times New Roman" w:eastAsia="Geist Fallback" w:cs="Times New Roman"/>
          <w:i w:val="0"/>
          <w:iCs w:val="0"/>
          <w:caps w:val="0"/>
          <w:spacing w:val="0"/>
          <w:sz w:val="24"/>
          <w:szCs w:val="24"/>
          <w:bdr w:val="none" w:color="auto" w:sz="0" w:space="0"/>
        </w:rPr>
        <w:t>Team Human Practices</w:t>
      </w:r>
      <w:r>
        <w:rPr>
          <w:rFonts w:hint="default" w:ascii="Times New Roman" w:hAnsi="Times New Roman" w:eastAsia="Geist Fallback" w:cs="Times New Roman"/>
          <w:i w:val="0"/>
          <w:iCs w:val="0"/>
          <w:caps w:val="0"/>
          <w:spacing w:val="0"/>
          <w:sz w:val="24"/>
          <w:szCs w:val="24"/>
          <w:bdr w:val="none" w:color="auto" w:sz="0" w:space="0"/>
        </w:rPr>
        <w:fldChar w:fldCharType="end"/>
      </w:r>
    </w:p>
    <w:p w14:paraId="4E5604E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bdr w:val="none" w:color="auto" w:sz="0" w:space="0"/>
        </w:rPr>
        <w:t>If sampling performance, specificity, response time and reproducibility are established, the system could later be explored for environmental screening in enclosed spaces. Any environmental result would represent a signal associated with the sampled environment, not proof that a particular person is infected.</w:t>
      </w:r>
    </w:p>
    <w:p w14:paraId="133787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36"/>
          <w:szCs w:val="36"/>
        </w:rPr>
      </w:pPr>
      <w:r>
        <w:rPr>
          <w:rFonts w:hint="default" w:ascii="Times New Roman" w:hAnsi="Times New Roman" w:eastAsia="Geist Fallback" w:cs="Times New Roman"/>
          <w:i w:val="0"/>
          <w:iCs w:val="0"/>
          <w:caps w:val="0"/>
          <w:spacing w:val="0"/>
          <w:sz w:val="36"/>
          <w:szCs w:val="36"/>
          <w:bdr w:val="none" w:color="auto" w:sz="0" w:space="0"/>
        </w:rPr>
        <w:t>13.2 What EchoYeast cannot currently claim</w:t>
      </w:r>
    </w:p>
    <w:p w14:paraId="2AA4726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bdr w:val="none" w:color="auto" w:sz="0" w:space="0"/>
        </w:rPr>
        <w:t>At the current stage, EchoYeast cannot claim that it:</w:t>
      </w:r>
    </w:p>
    <w:p w14:paraId="5207CE4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bdr w:val="none" w:color="auto" w:sz="0" w:space="0"/>
        </w:rPr>
        <w:t>detects infectious influenza virus;</w:t>
      </w:r>
    </w:p>
    <w:p w14:paraId="3BF5F908">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bdr w:val="none" w:color="auto" w:sz="0" w:space="0"/>
        </w:rPr>
        <w:t>quantifies airborne virus concentration;</w:t>
      </w:r>
    </w:p>
    <w:p w14:paraId="74F0CFFC">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bdr w:val="none" w:color="auto" w:sz="0" w:space="0"/>
        </w:rPr>
        <w:t>diagnoses infected individuals;</w:t>
      </w:r>
    </w:p>
    <w:p w14:paraId="52014883">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bdr w:val="none" w:color="auto" w:sz="0" w:space="0"/>
        </w:rPr>
        <w:t>distinguishes all influenza A subtypes;</w:t>
      </w:r>
    </w:p>
    <w:p w14:paraId="28FF8B54">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bdr w:val="none" w:color="auto" w:sz="0" w:space="0"/>
        </w:rPr>
        <w:t>outperforms qPCR or other established diagnostic methods;</w:t>
      </w:r>
    </w:p>
    <w:p w14:paraId="351ACAD3">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bdr w:val="none" w:color="auto" w:sz="0" w:space="0"/>
        </w:rPr>
        <w:t>has been validated using real environmental samples;</w:t>
      </w:r>
    </w:p>
    <w:p w14:paraId="40FFDE54">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bdr w:val="none" w:color="auto" w:sz="0" w:space="0"/>
        </w:rPr>
        <w:t>has completed the HA-to-reporter signaling chain.</w:t>
      </w:r>
    </w:p>
    <w:p w14:paraId="0E5D586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bdr w:val="none" w:color="auto" w:sz="0" w:space="0"/>
        </w:rPr>
        <w:t>These limitations define the current application boundary of the project.</w:t>
      </w:r>
    </w:p>
    <w:p w14:paraId="231DBEF4">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67BAA5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45"/>
          <w:szCs w:val="45"/>
        </w:rPr>
      </w:pPr>
      <w:r>
        <w:rPr>
          <w:rFonts w:hint="default" w:ascii="Times New Roman" w:hAnsi="Times New Roman" w:eastAsia="Geist Fallback" w:cs="Times New Roman"/>
          <w:i w:val="0"/>
          <w:iCs w:val="0"/>
          <w:caps w:val="0"/>
          <w:spacing w:val="0"/>
          <w:sz w:val="45"/>
          <w:szCs w:val="45"/>
          <w:bdr w:val="none" w:color="auto" w:sz="0" w:space="0"/>
        </w:rPr>
        <w:t>14. Safety and responsible deployment</w:t>
      </w:r>
    </w:p>
    <w:p w14:paraId="4859795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bdr w:val="none" w:color="auto" w:sz="0" w:space="0"/>
        </w:rPr>
        <w:t xml:space="preserve">The project uses purchased recombinant HA rather than live influenza virus. According to our Safety and Security page, the project does not use live influenza virus, replication-competent viral sequences or virulence-related genes. </w:t>
      </w:r>
      <w:r>
        <w:rPr>
          <w:rFonts w:hint="default" w:ascii="Times New Roman" w:hAnsi="Times New Roman" w:eastAsia="Geist Fallback" w:cs="Times New Roman"/>
          <w:i w:val="0"/>
          <w:iCs w:val="0"/>
          <w:caps w:val="0"/>
          <w:spacing w:val="0"/>
          <w:sz w:val="24"/>
          <w:szCs w:val="24"/>
          <w:bdr w:val="none" w:color="auto" w:sz="0" w:space="0"/>
        </w:rPr>
        <w:fldChar w:fldCharType="begin"/>
      </w:r>
      <w:r>
        <w:rPr>
          <w:rFonts w:hint="default" w:ascii="Times New Roman" w:hAnsi="Times New Roman" w:eastAsia="Geist Fallback" w:cs="Times New Roman"/>
          <w:i w:val="0"/>
          <w:iCs w:val="0"/>
          <w:caps w:val="0"/>
          <w:spacing w:val="0"/>
          <w:sz w:val="24"/>
          <w:szCs w:val="24"/>
          <w:bdr w:val="none" w:color="auto" w:sz="0" w:space="0"/>
        </w:rPr>
        <w:instrText xml:space="preserve"> HYPERLINK "https://2026.igem.wiki/szpu-china/safety-and-security" \t "https://infmind.cn/chat/_blank" </w:instrText>
      </w:r>
      <w:r>
        <w:rPr>
          <w:rFonts w:hint="default" w:ascii="Times New Roman" w:hAnsi="Times New Roman" w:eastAsia="Geist Fallback" w:cs="Times New Roman"/>
          <w:i w:val="0"/>
          <w:iCs w:val="0"/>
          <w:caps w:val="0"/>
          <w:spacing w:val="0"/>
          <w:sz w:val="24"/>
          <w:szCs w:val="24"/>
          <w:bdr w:val="none" w:color="auto" w:sz="0" w:space="0"/>
        </w:rPr>
        <w:fldChar w:fldCharType="separate"/>
      </w:r>
      <w:r>
        <w:rPr>
          <w:rStyle w:val="10"/>
          <w:rFonts w:hint="default" w:ascii="Times New Roman" w:hAnsi="Times New Roman" w:eastAsia="Geist Fallback" w:cs="Times New Roman"/>
          <w:i w:val="0"/>
          <w:iCs w:val="0"/>
          <w:caps w:val="0"/>
          <w:spacing w:val="0"/>
          <w:sz w:val="24"/>
          <w:szCs w:val="24"/>
          <w:bdr w:val="none" w:color="auto" w:sz="0" w:space="0"/>
        </w:rPr>
        <w:t>Team Safety and Security</w:t>
      </w:r>
      <w:r>
        <w:rPr>
          <w:rFonts w:hint="default" w:ascii="Times New Roman" w:hAnsi="Times New Roman" w:eastAsia="Geist Fallback" w:cs="Times New Roman"/>
          <w:i w:val="0"/>
          <w:iCs w:val="0"/>
          <w:caps w:val="0"/>
          <w:spacing w:val="0"/>
          <w:sz w:val="24"/>
          <w:szCs w:val="24"/>
          <w:bdr w:val="none" w:color="auto" w:sz="0" w:space="0"/>
        </w:rPr>
        <w:fldChar w:fldCharType="end"/>
      </w:r>
    </w:p>
    <w:p w14:paraId="37A7353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bdr w:val="none" w:color="auto" w:sz="0" w:space="0"/>
        </w:rPr>
        <w:t xml:space="preserve">The chassis is the laboratory strain </w:t>
      </w:r>
      <w:r>
        <w:rPr>
          <w:rStyle w:val="9"/>
          <w:rFonts w:hint="default" w:ascii="Times New Roman" w:hAnsi="Times New Roman" w:eastAsia="Geist Fallback" w:cs="Times New Roman"/>
          <w:i w:val="0"/>
          <w:iCs w:val="0"/>
          <w:caps w:val="0"/>
          <w:spacing w:val="0"/>
          <w:sz w:val="24"/>
          <w:szCs w:val="24"/>
          <w:bdr w:val="none" w:color="auto" w:sz="0" w:space="0"/>
        </w:rPr>
        <w:t>Saccharomyces cerevisiae</w:t>
      </w:r>
      <w:r>
        <w:rPr>
          <w:rFonts w:hint="default" w:ascii="Times New Roman" w:hAnsi="Times New Roman" w:eastAsia="Geist Fallback" w:cs="Times New Roman"/>
          <w:i w:val="0"/>
          <w:iCs w:val="0"/>
          <w:caps w:val="0"/>
          <w:spacing w:val="0"/>
          <w:sz w:val="24"/>
          <w:szCs w:val="24"/>
          <w:bdr w:val="none" w:color="auto" w:sz="0" w:space="0"/>
        </w:rPr>
        <w:t xml:space="preserve"> BY4741, and all experiments are conducted under laboratory safety procedures and a documented risk-assessment framework. </w:t>
      </w:r>
      <w:r>
        <w:rPr>
          <w:rFonts w:hint="default" w:ascii="Times New Roman" w:hAnsi="Times New Roman" w:eastAsia="Geist Fallback" w:cs="Times New Roman"/>
          <w:i w:val="0"/>
          <w:iCs w:val="0"/>
          <w:caps w:val="0"/>
          <w:spacing w:val="0"/>
          <w:sz w:val="24"/>
          <w:szCs w:val="24"/>
          <w:bdr w:val="none" w:color="auto" w:sz="0" w:space="0"/>
        </w:rPr>
        <w:fldChar w:fldCharType="begin"/>
      </w:r>
      <w:r>
        <w:rPr>
          <w:rFonts w:hint="default" w:ascii="Times New Roman" w:hAnsi="Times New Roman" w:eastAsia="Geist Fallback" w:cs="Times New Roman"/>
          <w:i w:val="0"/>
          <w:iCs w:val="0"/>
          <w:caps w:val="0"/>
          <w:spacing w:val="0"/>
          <w:sz w:val="24"/>
          <w:szCs w:val="24"/>
          <w:bdr w:val="none" w:color="auto" w:sz="0" w:space="0"/>
        </w:rPr>
        <w:instrText xml:space="preserve"> HYPERLINK "https://2026.igem.wiki/szpu-china/safety-and-security" \t "https://infmind.cn/chat/_blank" </w:instrText>
      </w:r>
      <w:r>
        <w:rPr>
          <w:rFonts w:hint="default" w:ascii="Times New Roman" w:hAnsi="Times New Roman" w:eastAsia="Geist Fallback" w:cs="Times New Roman"/>
          <w:i w:val="0"/>
          <w:iCs w:val="0"/>
          <w:caps w:val="0"/>
          <w:spacing w:val="0"/>
          <w:sz w:val="24"/>
          <w:szCs w:val="24"/>
          <w:bdr w:val="none" w:color="auto" w:sz="0" w:space="0"/>
        </w:rPr>
        <w:fldChar w:fldCharType="separate"/>
      </w:r>
      <w:r>
        <w:rPr>
          <w:rStyle w:val="10"/>
          <w:rFonts w:hint="default" w:ascii="Times New Roman" w:hAnsi="Times New Roman" w:eastAsia="Geist Fallback" w:cs="Times New Roman"/>
          <w:i w:val="0"/>
          <w:iCs w:val="0"/>
          <w:caps w:val="0"/>
          <w:spacing w:val="0"/>
          <w:sz w:val="24"/>
          <w:szCs w:val="24"/>
          <w:bdr w:val="none" w:color="auto" w:sz="0" w:space="0"/>
        </w:rPr>
        <w:t>Team Safety and Security</w:t>
      </w:r>
      <w:r>
        <w:rPr>
          <w:rFonts w:hint="default" w:ascii="Times New Roman" w:hAnsi="Times New Roman" w:eastAsia="Geist Fallback" w:cs="Times New Roman"/>
          <w:i w:val="0"/>
          <w:iCs w:val="0"/>
          <w:caps w:val="0"/>
          <w:spacing w:val="0"/>
          <w:sz w:val="24"/>
          <w:szCs w:val="24"/>
          <w:bdr w:val="none" w:color="auto" w:sz="0" w:space="0"/>
        </w:rPr>
        <w:fldChar w:fldCharType="end"/>
      </w:r>
    </w:p>
    <w:p w14:paraId="6F20CE8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bdr w:val="none" w:color="auto" w:sz="0" w:space="0"/>
        </w:rPr>
        <w:t xml:space="preserve">Auxotrophic selection and marker-removal procedures are included as components of the biological-containment design. </w:t>
      </w:r>
      <w:r>
        <w:rPr>
          <w:rFonts w:hint="default" w:ascii="Times New Roman" w:hAnsi="Times New Roman" w:eastAsia="Geist Fallback" w:cs="Times New Roman"/>
          <w:i w:val="0"/>
          <w:iCs w:val="0"/>
          <w:caps w:val="0"/>
          <w:spacing w:val="0"/>
          <w:sz w:val="24"/>
          <w:szCs w:val="24"/>
          <w:bdr w:val="none" w:color="auto" w:sz="0" w:space="0"/>
        </w:rPr>
        <w:fldChar w:fldCharType="begin"/>
      </w:r>
      <w:r>
        <w:rPr>
          <w:rFonts w:hint="default" w:ascii="Times New Roman" w:hAnsi="Times New Roman" w:eastAsia="Geist Fallback" w:cs="Times New Roman"/>
          <w:i w:val="0"/>
          <w:iCs w:val="0"/>
          <w:caps w:val="0"/>
          <w:spacing w:val="0"/>
          <w:sz w:val="24"/>
          <w:szCs w:val="24"/>
          <w:bdr w:val="none" w:color="auto" w:sz="0" w:space="0"/>
        </w:rPr>
        <w:instrText xml:space="preserve"> HYPERLINK "https://2026.igem.wiki/szpu-china/design" \t "https://infmind.cn/chat/_blank" </w:instrText>
      </w:r>
      <w:r>
        <w:rPr>
          <w:rFonts w:hint="default" w:ascii="Times New Roman" w:hAnsi="Times New Roman" w:eastAsia="Geist Fallback" w:cs="Times New Roman"/>
          <w:i w:val="0"/>
          <w:iCs w:val="0"/>
          <w:caps w:val="0"/>
          <w:spacing w:val="0"/>
          <w:sz w:val="24"/>
          <w:szCs w:val="24"/>
          <w:bdr w:val="none" w:color="auto" w:sz="0" w:space="0"/>
        </w:rPr>
        <w:fldChar w:fldCharType="separate"/>
      </w:r>
      <w:r>
        <w:rPr>
          <w:rStyle w:val="10"/>
          <w:rFonts w:hint="default" w:ascii="Times New Roman" w:hAnsi="Times New Roman" w:eastAsia="Geist Fallback" w:cs="Times New Roman"/>
          <w:i w:val="0"/>
          <w:iCs w:val="0"/>
          <w:caps w:val="0"/>
          <w:spacing w:val="0"/>
          <w:sz w:val="24"/>
          <w:szCs w:val="24"/>
          <w:bdr w:val="none" w:color="auto" w:sz="0" w:space="0"/>
        </w:rPr>
        <w:t>Team Design</w:t>
      </w:r>
      <w:r>
        <w:rPr>
          <w:rFonts w:hint="default" w:ascii="Times New Roman" w:hAnsi="Times New Roman" w:eastAsia="Geist Fallback" w:cs="Times New Roman"/>
          <w:i w:val="0"/>
          <w:iCs w:val="0"/>
          <w:caps w:val="0"/>
          <w:spacing w:val="0"/>
          <w:sz w:val="24"/>
          <w:szCs w:val="24"/>
          <w:bdr w:val="none" w:color="auto" w:sz="0" w:space="0"/>
        </w:rPr>
        <w:fldChar w:fldCharType="end"/>
      </w:r>
    </w:p>
    <w:p w14:paraId="5FCA4A3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bdr w:val="none" w:color="auto" w:sz="0" w:space="0"/>
        </w:rPr>
        <w:t>Any future environmental or breath-sampling prototype should operate as a closed system and include defined procedures for sample handling, yeast inactivation and waste disposal.</w:t>
      </w:r>
    </w:p>
    <w:p w14:paraId="13E30EA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bdr w:val="none" w:color="auto" w:sz="0" w:space="0"/>
        </w:rPr>
        <w:t>We also apply the following interpretation boundaries:</w:t>
      </w:r>
    </w:p>
    <w:p w14:paraId="287D317F">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bdr w:val="none" w:color="auto" w:sz="0" w:space="0"/>
        </w:rPr>
        <w:t>an antigen-related signal is not equivalent to infectious-virus concentration;</w:t>
      </w:r>
    </w:p>
    <w:p w14:paraId="159807CF">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bdr w:val="none" w:color="auto" w:sz="0" w:space="0"/>
        </w:rPr>
        <w:t>an environmental signal is not equivalent to individual infection;</w:t>
      </w:r>
    </w:p>
    <w:p w14:paraId="2C8FF5B9">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bdr w:val="none" w:color="auto" w:sz="0" w:space="0"/>
        </w:rPr>
        <w:t>α-factor response is not equivalent to HA response;</w:t>
      </w:r>
    </w:p>
    <w:p w14:paraId="65DBCC6C">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bdr w:val="none" w:color="auto" w:sz="0" w:space="0"/>
        </w:rPr>
        <w:t>computational prediction is not equivalent to experimental validation;</w:t>
      </w:r>
    </w:p>
    <w:p w14:paraId="66B20A75">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bdr w:val="none" w:color="auto" w:sz="0" w:space="0"/>
        </w:rPr>
        <w:t>fluorescence should not be converted into airborne-virus concentration without independent calibration;</w:t>
      </w:r>
    </w:p>
    <w:p w14:paraId="5EDACBFB">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bdr w:val="none" w:color="auto" w:sz="0" w:space="0"/>
        </w:rPr>
        <w:t>a positive signal should not be converted into a clinical risk level without analytical and epidemiological validation.</w:t>
      </w:r>
    </w:p>
    <w:p w14:paraId="3A225B15">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cs="Times New Roman"/>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33E1AF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45"/>
          <w:szCs w:val="45"/>
        </w:rPr>
      </w:pPr>
      <w:r>
        <w:rPr>
          <w:rFonts w:hint="default" w:ascii="Times New Roman" w:hAnsi="Times New Roman" w:eastAsia="Geist Fallback" w:cs="Times New Roman"/>
          <w:i w:val="0"/>
          <w:iCs w:val="0"/>
          <w:caps w:val="0"/>
          <w:spacing w:val="0"/>
          <w:sz w:val="45"/>
          <w:szCs w:val="45"/>
          <w:bdr w:val="none" w:color="auto" w:sz="0" w:space="0"/>
        </w:rPr>
        <w:t>15. Current status and next steps</w:t>
      </w:r>
    </w:p>
    <w:p w14:paraId="3FED13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36"/>
          <w:szCs w:val="36"/>
        </w:rPr>
      </w:pPr>
      <w:r>
        <w:rPr>
          <w:rFonts w:hint="default" w:ascii="Times New Roman" w:hAnsi="Times New Roman" w:eastAsia="Geist Fallback" w:cs="Times New Roman"/>
          <w:i w:val="0"/>
          <w:iCs w:val="0"/>
          <w:caps w:val="0"/>
          <w:spacing w:val="0"/>
          <w:sz w:val="36"/>
          <w:szCs w:val="36"/>
          <w:bdr w:val="none" w:color="auto" w:sz="0" w:space="0"/>
        </w:rPr>
        <w:t>15.1 Current evidence</w:t>
      </w:r>
    </w:p>
    <w:tbl>
      <w:tblPr>
        <w:tblW w:w="1101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593"/>
        <w:gridCol w:w="4989"/>
        <w:gridCol w:w="4428"/>
      </w:tblGrid>
      <w:tr w14:paraId="59F99AE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shd w:val="clear"/>
            <w:noWrap/>
            <w:vAlign w:val="center"/>
          </w:tcPr>
          <w:p w14:paraId="684BB760">
            <w:pPr>
              <w:keepNext w:val="0"/>
              <w:keepLines w:val="0"/>
              <w:widowControl/>
              <w:suppressLineNumbers w:val="0"/>
              <w:spacing w:before="0" w:beforeAutospacing="0" w:after="0" w:afterAutospacing="0"/>
              <w:ind w:left="0" w:right="0" w:firstLine="0"/>
              <w:jc w:val="left"/>
              <w:rPr>
                <w:rFonts w:hint="default" w:ascii="Times New Roman" w:hAnsi="Times New Roman" w:cs="Times New Roman"/>
                <w:b/>
                <w:bCs/>
                <w:sz w:val="21"/>
                <w:szCs w:val="21"/>
              </w:rPr>
            </w:pPr>
            <w:r>
              <w:rPr>
                <w:rFonts w:hint="default" w:ascii="Times New Roman" w:hAnsi="Times New Roman" w:eastAsia="宋体" w:cs="Times New Roman"/>
                <w:b/>
                <w:bCs/>
                <w:kern w:val="0"/>
                <w:sz w:val="21"/>
                <w:szCs w:val="21"/>
                <w:bdr w:val="none" w:color="auto" w:sz="0" w:space="0"/>
                <w:lang w:val="en-US" w:eastAsia="zh-CN" w:bidi="ar"/>
              </w:rPr>
              <w:t>Module</w:t>
            </w:r>
          </w:p>
        </w:tc>
        <w:tc>
          <w:tcPr>
            <w:tcW w:w="0" w:type="auto"/>
            <w:shd w:val="clear"/>
            <w:noWrap/>
            <w:vAlign w:val="center"/>
          </w:tcPr>
          <w:p w14:paraId="64842645">
            <w:pPr>
              <w:keepNext w:val="0"/>
              <w:keepLines w:val="0"/>
              <w:widowControl/>
              <w:suppressLineNumbers w:val="0"/>
              <w:spacing w:before="0" w:beforeAutospacing="0" w:after="0" w:afterAutospacing="0"/>
              <w:ind w:left="0" w:right="0" w:firstLine="0"/>
              <w:jc w:val="left"/>
              <w:rPr>
                <w:rFonts w:hint="default" w:ascii="Times New Roman" w:hAnsi="Times New Roman" w:cs="Times New Roman"/>
                <w:b/>
                <w:bCs/>
                <w:sz w:val="21"/>
                <w:szCs w:val="21"/>
              </w:rPr>
            </w:pPr>
            <w:r>
              <w:rPr>
                <w:rFonts w:hint="default" w:ascii="Times New Roman" w:hAnsi="Times New Roman" w:eastAsia="宋体" w:cs="Times New Roman"/>
                <w:b/>
                <w:bCs/>
                <w:kern w:val="0"/>
                <w:sz w:val="21"/>
                <w:szCs w:val="21"/>
                <w:bdr w:val="none" w:color="auto" w:sz="0" w:space="0"/>
                <w:lang w:val="en-US" w:eastAsia="zh-CN" w:bidi="ar"/>
              </w:rPr>
              <w:t>Current evidence</w:t>
            </w:r>
          </w:p>
        </w:tc>
        <w:tc>
          <w:tcPr>
            <w:tcW w:w="0" w:type="auto"/>
            <w:shd w:val="clear"/>
            <w:noWrap/>
            <w:vAlign w:val="center"/>
          </w:tcPr>
          <w:p w14:paraId="22B3BEE0">
            <w:pPr>
              <w:keepNext w:val="0"/>
              <w:keepLines w:val="0"/>
              <w:widowControl/>
              <w:suppressLineNumbers w:val="0"/>
              <w:spacing w:before="0" w:beforeAutospacing="0" w:after="0" w:afterAutospacing="0"/>
              <w:ind w:left="0" w:right="0" w:firstLine="0"/>
              <w:jc w:val="left"/>
              <w:rPr>
                <w:rFonts w:hint="default" w:ascii="Times New Roman" w:hAnsi="Times New Roman" w:cs="Times New Roman"/>
                <w:b/>
                <w:bCs/>
                <w:sz w:val="21"/>
                <w:szCs w:val="21"/>
              </w:rPr>
            </w:pPr>
            <w:r>
              <w:rPr>
                <w:rFonts w:hint="default" w:ascii="Times New Roman" w:hAnsi="Times New Roman" w:eastAsia="宋体" w:cs="Times New Roman"/>
                <w:b/>
                <w:bCs/>
                <w:kern w:val="0"/>
                <w:sz w:val="21"/>
                <w:szCs w:val="21"/>
                <w:bdr w:val="none" w:color="auto" w:sz="0" w:space="0"/>
                <w:lang w:val="en-US" w:eastAsia="zh-CN" w:bidi="ar"/>
              </w:rPr>
              <w:t>Current interpretation</w:t>
            </w:r>
          </w:p>
        </w:tc>
      </w:tr>
      <w:tr w14:paraId="7BF8AD8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shd w:val="clear"/>
            <w:vAlign w:val="center"/>
          </w:tcPr>
          <w:p w14:paraId="3C425499">
            <w:pPr>
              <w:keepNext w:val="0"/>
              <w:keepLines w:val="0"/>
              <w:widowControl/>
              <w:suppressLineNumbers w:val="0"/>
              <w:spacing w:before="0" w:beforeAutospacing="0" w:after="0" w:afterAutospacing="0" w:line="11" w:lineRule="atLeast"/>
              <w:ind w:left="0" w:right="0" w:firstLine="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bdr w:val="none" w:color="auto" w:sz="0" w:space="0"/>
                <w:lang w:val="en-US" w:eastAsia="zh-CN" w:bidi="ar"/>
              </w:rPr>
              <w:t>FUS1–yEGFP reporter</w:t>
            </w:r>
          </w:p>
        </w:tc>
        <w:tc>
          <w:tcPr>
            <w:tcW w:w="0" w:type="auto"/>
            <w:shd w:val="clear"/>
            <w:vAlign w:val="center"/>
          </w:tcPr>
          <w:p w14:paraId="406E605D">
            <w:pPr>
              <w:keepNext w:val="0"/>
              <w:keepLines w:val="0"/>
              <w:widowControl/>
              <w:suppressLineNumbers w:val="0"/>
              <w:spacing w:before="0" w:beforeAutospacing="0" w:after="0" w:afterAutospacing="0" w:line="11" w:lineRule="atLeast"/>
              <w:ind w:left="0" w:right="0" w:firstLine="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bdr w:val="none" w:color="auto" w:sz="0" w:space="0"/>
                <w:lang w:val="en-US" w:eastAsia="zh-CN" w:bidi="ar"/>
              </w:rPr>
              <w:t>α-factor-dependent fluorescence was characterized</w:t>
            </w:r>
          </w:p>
        </w:tc>
        <w:tc>
          <w:tcPr>
            <w:tcW w:w="0" w:type="auto"/>
            <w:shd w:val="clear"/>
            <w:vAlign w:val="center"/>
          </w:tcPr>
          <w:p w14:paraId="0597DD31">
            <w:pPr>
              <w:keepNext w:val="0"/>
              <w:keepLines w:val="0"/>
              <w:widowControl/>
              <w:suppressLineNumbers w:val="0"/>
              <w:spacing w:before="0" w:beforeAutospacing="0" w:after="0" w:afterAutospacing="0" w:line="11" w:lineRule="atLeast"/>
              <w:ind w:left="0" w:right="0" w:firstLine="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bdr w:val="none" w:color="auto" w:sz="0" w:space="0"/>
                <w:lang w:val="en-US" w:eastAsia="zh-CN" w:bidi="ar"/>
              </w:rPr>
              <w:t>Supports the downstream reporter route</w:t>
            </w:r>
          </w:p>
        </w:tc>
      </w:tr>
      <w:tr w14:paraId="66CE3A3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shd w:val="clear"/>
            <w:vAlign w:val="center"/>
          </w:tcPr>
          <w:p w14:paraId="332BCAD9">
            <w:pPr>
              <w:keepNext w:val="0"/>
              <w:keepLines w:val="0"/>
              <w:widowControl/>
              <w:suppressLineNumbers w:val="0"/>
              <w:spacing w:before="0" w:beforeAutospacing="0" w:after="0" w:afterAutospacing="0" w:line="11" w:lineRule="atLeast"/>
              <w:ind w:left="0" w:right="0" w:firstLine="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bdr w:val="none" w:color="auto" w:sz="0" w:space="0"/>
                <w:lang w:val="en-US" w:eastAsia="zh-CN" w:bidi="ar"/>
              </w:rPr>
              <w:t>FAR1/SST2 chassis</w:t>
            </w:r>
          </w:p>
        </w:tc>
        <w:tc>
          <w:tcPr>
            <w:tcW w:w="0" w:type="auto"/>
            <w:shd w:val="clear"/>
            <w:vAlign w:val="center"/>
          </w:tcPr>
          <w:p w14:paraId="6084BAE0">
            <w:pPr>
              <w:keepNext w:val="0"/>
              <w:keepLines w:val="0"/>
              <w:widowControl/>
              <w:suppressLineNumbers w:val="0"/>
              <w:spacing w:before="0" w:beforeAutospacing="0" w:after="0" w:afterAutospacing="0" w:line="11" w:lineRule="atLeast"/>
              <w:ind w:left="0" w:right="0" w:firstLine="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bdr w:val="none" w:color="auto" w:sz="0" w:space="0"/>
                <w:lang w:val="en-US" w:eastAsia="zh-CN" w:bidi="ar"/>
              </w:rPr>
              <w:t>Targeted edits and phenotypic changes were observed</w:t>
            </w:r>
          </w:p>
        </w:tc>
        <w:tc>
          <w:tcPr>
            <w:tcW w:w="0" w:type="auto"/>
            <w:shd w:val="clear"/>
            <w:vAlign w:val="center"/>
          </w:tcPr>
          <w:p w14:paraId="4250A126">
            <w:pPr>
              <w:keepNext w:val="0"/>
              <w:keepLines w:val="0"/>
              <w:widowControl/>
              <w:suppressLineNumbers w:val="0"/>
              <w:spacing w:before="0" w:beforeAutospacing="0" w:after="0" w:afterAutospacing="0" w:line="11" w:lineRule="atLeast"/>
              <w:ind w:left="0" w:right="0" w:firstLine="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bdr w:val="none" w:color="auto" w:sz="0" w:space="0"/>
                <w:lang w:val="en-US" w:eastAsia="zh-CN" w:bidi="ar"/>
              </w:rPr>
              <w:t>Supports chassis engineering; the optimal chassis remains to be determined</w:t>
            </w:r>
          </w:p>
        </w:tc>
      </w:tr>
      <w:tr w14:paraId="60191B9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shd w:val="clear"/>
            <w:vAlign w:val="center"/>
          </w:tcPr>
          <w:p w14:paraId="795A2F6F">
            <w:pPr>
              <w:keepNext w:val="0"/>
              <w:keepLines w:val="0"/>
              <w:widowControl/>
              <w:suppressLineNumbers w:val="0"/>
              <w:spacing w:before="0" w:beforeAutospacing="0" w:after="0" w:afterAutospacing="0" w:line="11" w:lineRule="atLeast"/>
              <w:ind w:left="0" w:right="0" w:firstLine="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bdr w:val="none" w:color="auto" w:sz="0" w:space="0"/>
                <w:lang w:val="en-US" w:eastAsia="zh-CN" w:bidi="ar"/>
              </w:rPr>
              <w:t>Gpa1–Gαq engineering</w:t>
            </w:r>
          </w:p>
        </w:tc>
        <w:tc>
          <w:tcPr>
            <w:tcW w:w="0" w:type="auto"/>
            <w:shd w:val="clear"/>
            <w:vAlign w:val="center"/>
          </w:tcPr>
          <w:p w14:paraId="190E1582">
            <w:pPr>
              <w:keepNext w:val="0"/>
              <w:keepLines w:val="0"/>
              <w:widowControl/>
              <w:suppressLineNumbers w:val="0"/>
              <w:spacing w:before="0" w:beforeAutospacing="0" w:after="0" w:afterAutospacing="0" w:line="11" w:lineRule="atLeast"/>
              <w:ind w:left="0" w:right="0" w:firstLine="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bdr w:val="none" w:color="auto" w:sz="0" w:space="0"/>
                <w:lang w:val="en-US" w:eastAsia="zh-CN" w:bidi="ar"/>
              </w:rPr>
              <w:t>Clones 12 and 17 matched the expected target sequence and showed reduced native α-factor responses</w:t>
            </w:r>
          </w:p>
        </w:tc>
        <w:tc>
          <w:tcPr>
            <w:tcW w:w="0" w:type="auto"/>
            <w:shd w:val="clear"/>
            <w:vAlign w:val="center"/>
          </w:tcPr>
          <w:p w14:paraId="5EAAE14A">
            <w:pPr>
              <w:keepNext w:val="0"/>
              <w:keepLines w:val="0"/>
              <w:widowControl/>
              <w:suppressLineNumbers w:val="0"/>
              <w:spacing w:before="0" w:beforeAutospacing="0" w:after="0" w:afterAutospacing="0" w:line="11" w:lineRule="atLeast"/>
              <w:ind w:left="0" w:right="0" w:firstLine="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bdr w:val="none" w:color="auto" w:sz="0" w:space="0"/>
                <w:lang w:val="en-US" w:eastAsia="zh-CN" w:bidi="ar"/>
              </w:rPr>
              <w:t>Supports both construction and functional characterization of the humanized chassis</w:t>
            </w:r>
          </w:p>
        </w:tc>
      </w:tr>
      <w:tr w14:paraId="5523718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shd w:val="clear"/>
            <w:vAlign w:val="center"/>
          </w:tcPr>
          <w:p w14:paraId="5484C95B">
            <w:pPr>
              <w:keepNext w:val="0"/>
              <w:keepLines w:val="0"/>
              <w:widowControl/>
              <w:suppressLineNumbers w:val="0"/>
              <w:spacing w:before="0" w:beforeAutospacing="0" w:after="0" w:afterAutospacing="0" w:line="11" w:lineRule="atLeast"/>
              <w:ind w:left="0" w:right="0" w:firstLine="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bdr w:val="none" w:color="auto" w:sz="0" w:space="0"/>
                <w:lang w:val="en-US" w:eastAsia="zh-CN" w:bidi="ar"/>
              </w:rPr>
              <w:t>Computational model</w:t>
            </w:r>
          </w:p>
        </w:tc>
        <w:tc>
          <w:tcPr>
            <w:tcW w:w="0" w:type="auto"/>
            <w:shd w:val="clear"/>
            <w:vAlign w:val="center"/>
          </w:tcPr>
          <w:p w14:paraId="35CEC7AC">
            <w:pPr>
              <w:keepNext w:val="0"/>
              <w:keepLines w:val="0"/>
              <w:widowControl/>
              <w:suppressLineNumbers w:val="0"/>
              <w:spacing w:before="0" w:beforeAutospacing="0" w:after="0" w:afterAutospacing="0" w:line="11" w:lineRule="atLeast"/>
              <w:ind w:left="0" w:right="0" w:firstLine="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bdr w:val="none" w:color="auto" w:sz="0" w:space="0"/>
                <w:lang w:val="en-US" w:eastAsia="zh-CN" w:bidi="ar"/>
              </w:rPr>
              <w:t>Candidate prioritization and testable hypotheses were generated</w:t>
            </w:r>
          </w:p>
        </w:tc>
        <w:tc>
          <w:tcPr>
            <w:tcW w:w="0" w:type="auto"/>
            <w:shd w:val="clear"/>
            <w:vAlign w:val="center"/>
          </w:tcPr>
          <w:p w14:paraId="4E6DD32A">
            <w:pPr>
              <w:keepNext w:val="0"/>
              <w:keepLines w:val="0"/>
              <w:widowControl/>
              <w:suppressLineNumbers w:val="0"/>
              <w:spacing w:before="0" w:beforeAutospacing="0" w:after="0" w:afterAutospacing="0" w:line="11" w:lineRule="atLeast"/>
              <w:ind w:left="0" w:right="0" w:firstLine="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bdr w:val="none" w:color="auto" w:sz="0" w:space="0"/>
                <w:lang w:val="en-US" w:eastAsia="zh-CN" w:bidi="ar"/>
              </w:rPr>
              <w:t>Provides experimental guidance but not validation</w:t>
            </w:r>
          </w:p>
        </w:tc>
      </w:tr>
      <w:tr w14:paraId="2240C42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shd w:val="clear"/>
            <w:vAlign w:val="center"/>
          </w:tcPr>
          <w:p w14:paraId="705175E3">
            <w:pPr>
              <w:keepNext w:val="0"/>
              <w:keepLines w:val="0"/>
              <w:widowControl/>
              <w:suppressLineNumbers w:val="0"/>
              <w:spacing w:before="0" w:beforeAutospacing="0" w:after="0" w:afterAutospacing="0" w:line="11" w:lineRule="atLeast"/>
              <w:ind w:left="0" w:right="0" w:firstLine="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bdr w:val="none" w:color="auto" w:sz="0" w:space="0"/>
                <w:lang w:val="en-US" w:eastAsia="zh-CN" w:bidi="ar"/>
              </w:rPr>
              <w:t>Hardware</w:t>
            </w:r>
          </w:p>
        </w:tc>
        <w:tc>
          <w:tcPr>
            <w:tcW w:w="0" w:type="auto"/>
            <w:shd w:val="clear"/>
            <w:vAlign w:val="center"/>
          </w:tcPr>
          <w:p w14:paraId="5AB7F9B1">
            <w:pPr>
              <w:keepNext w:val="0"/>
              <w:keepLines w:val="0"/>
              <w:widowControl/>
              <w:suppressLineNumbers w:val="0"/>
              <w:spacing w:before="0" w:beforeAutospacing="0" w:after="0" w:afterAutospacing="0" w:line="11" w:lineRule="atLeast"/>
              <w:ind w:left="0" w:right="0" w:firstLine="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bdr w:val="none" w:color="auto" w:sz="0" w:space="0"/>
                <w:lang w:val="en-US" w:eastAsia="zh-CN" w:bidi="ar"/>
              </w:rPr>
              <w:t>Temperature-control and optical-readout modules were designed and iterated</w:t>
            </w:r>
          </w:p>
        </w:tc>
        <w:tc>
          <w:tcPr>
            <w:tcW w:w="0" w:type="auto"/>
            <w:shd w:val="clear"/>
            <w:vAlign w:val="center"/>
          </w:tcPr>
          <w:p w14:paraId="0EC4F213">
            <w:pPr>
              <w:keepNext w:val="0"/>
              <w:keepLines w:val="0"/>
              <w:widowControl/>
              <w:suppressLineNumbers w:val="0"/>
              <w:spacing w:before="0" w:beforeAutospacing="0" w:after="0" w:afterAutospacing="0" w:line="11" w:lineRule="atLeast"/>
              <w:ind w:left="0" w:right="0" w:firstLine="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bdr w:val="none" w:color="auto" w:sz="0" w:space="0"/>
                <w:lang w:val="en-US" w:eastAsia="zh-CN" w:bidi="ar"/>
              </w:rPr>
              <w:t>Supports future sampling integration; complete air detection remains open</w:t>
            </w:r>
          </w:p>
        </w:tc>
      </w:tr>
      <w:tr w14:paraId="50A1840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shd w:val="clear"/>
            <w:vAlign w:val="center"/>
          </w:tcPr>
          <w:p w14:paraId="48F2BC65">
            <w:pPr>
              <w:keepNext w:val="0"/>
              <w:keepLines w:val="0"/>
              <w:widowControl/>
              <w:suppressLineNumbers w:val="0"/>
              <w:spacing w:before="0" w:beforeAutospacing="0" w:after="0" w:afterAutospacing="0" w:line="11" w:lineRule="atLeast"/>
              <w:ind w:left="0" w:right="0" w:firstLine="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bdr w:val="none" w:color="auto" w:sz="0" w:space="0"/>
                <w:lang w:val="en-US" w:eastAsia="zh-CN" w:bidi="ar"/>
              </w:rPr>
              <w:t>Full-length receptor</w:t>
            </w:r>
          </w:p>
        </w:tc>
        <w:tc>
          <w:tcPr>
            <w:tcW w:w="0" w:type="auto"/>
            <w:shd w:val="clear"/>
            <w:vAlign w:val="center"/>
          </w:tcPr>
          <w:p w14:paraId="2D218ED8">
            <w:pPr>
              <w:keepNext w:val="0"/>
              <w:keepLines w:val="0"/>
              <w:widowControl/>
              <w:suppressLineNumbers w:val="0"/>
              <w:spacing w:before="0" w:beforeAutospacing="0" w:after="0" w:afterAutospacing="0" w:line="11" w:lineRule="atLeast"/>
              <w:ind w:left="0" w:right="0" w:firstLine="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bdr w:val="none" w:color="auto" w:sz="0" w:space="0"/>
                <w:lang w:val="en-US" w:eastAsia="zh-CN" w:bidi="ar"/>
              </w:rPr>
              <w:t>Expected receptor-specific band and HA/DCZ response were not observed</w:t>
            </w:r>
          </w:p>
        </w:tc>
        <w:tc>
          <w:tcPr>
            <w:tcW w:w="0" w:type="auto"/>
            <w:shd w:val="clear"/>
            <w:vAlign w:val="center"/>
          </w:tcPr>
          <w:p w14:paraId="39E00E6C">
            <w:pPr>
              <w:keepNext w:val="0"/>
              <w:keepLines w:val="0"/>
              <w:widowControl/>
              <w:suppressLineNumbers w:val="0"/>
              <w:spacing w:before="0" w:beforeAutospacing="0" w:after="0" w:afterAutospacing="0" w:line="11" w:lineRule="atLeast"/>
              <w:ind w:left="0" w:right="0" w:firstLine="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bdr w:val="none" w:color="auto" w:sz="0" w:space="0"/>
                <w:lang w:val="en-US" w:eastAsia="zh-CN" w:bidi="ar"/>
              </w:rPr>
              <w:t>Complete HA-gated sensing remains unvalidated</w:t>
            </w:r>
          </w:p>
        </w:tc>
      </w:tr>
    </w:tbl>
    <w:p w14:paraId="7C2D3D5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bdr w:val="none" w:color="auto" w:sz="0" w:space="0"/>
        </w:rPr>
        <w:t xml:space="preserve">The Gpa1-humanization results should therefore not be described as sequence-only evidence. Clones 12 and 17 were sequence-confirmed, and the humanized chassis showed reduced α-factor-induced shmoo formation, growth inhibition and FUS1–yEGFP fluorescence while maintaining overall growth performance. </w:t>
      </w:r>
      <w:r>
        <w:rPr>
          <w:rFonts w:hint="default" w:ascii="Times New Roman" w:hAnsi="Times New Roman" w:eastAsia="Geist Fallback" w:cs="Times New Roman"/>
          <w:i w:val="0"/>
          <w:iCs w:val="0"/>
          <w:caps w:val="0"/>
          <w:spacing w:val="0"/>
          <w:sz w:val="24"/>
          <w:szCs w:val="24"/>
          <w:bdr w:val="none" w:color="auto" w:sz="0" w:space="0"/>
        </w:rPr>
        <w:fldChar w:fldCharType="begin"/>
      </w:r>
      <w:r>
        <w:rPr>
          <w:rFonts w:hint="default" w:ascii="Times New Roman" w:hAnsi="Times New Roman" w:eastAsia="Geist Fallback" w:cs="Times New Roman"/>
          <w:i w:val="0"/>
          <w:iCs w:val="0"/>
          <w:caps w:val="0"/>
          <w:spacing w:val="0"/>
          <w:sz w:val="24"/>
          <w:szCs w:val="24"/>
          <w:bdr w:val="none" w:color="auto" w:sz="0" w:space="0"/>
        </w:rPr>
        <w:instrText xml:space="preserve"> HYPERLINK "https://2026.igem.wiki/szpu-china/results" \t "https://infmind.cn/chat/_blank" </w:instrText>
      </w:r>
      <w:r>
        <w:rPr>
          <w:rFonts w:hint="default" w:ascii="Times New Roman" w:hAnsi="Times New Roman" w:eastAsia="Geist Fallback" w:cs="Times New Roman"/>
          <w:i w:val="0"/>
          <w:iCs w:val="0"/>
          <w:caps w:val="0"/>
          <w:spacing w:val="0"/>
          <w:sz w:val="24"/>
          <w:szCs w:val="24"/>
          <w:bdr w:val="none" w:color="auto" w:sz="0" w:space="0"/>
        </w:rPr>
        <w:fldChar w:fldCharType="separate"/>
      </w:r>
      <w:r>
        <w:rPr>
          <w:rStyle w:val="10"/>
          <w:rFonts w:hint="default" w:ascii="Times New Roman" w:hAnsi="Times New Roman" w:eastAsia="Geist Fallback" w:cs="Times New Roman"/>
          <w:i w:val="0"/>
          <w:iCs w:val="0"/>
          <w:caps w:val="0"/>
          <w:spacing w:val="0"/>
          <w:sz w:val="24"/>
          <w:szCs w:val="24"/>
          <w:bdr w:val="none" w:color="auto" w:sz="0" w:space="0"/>
        </w:rPr>
        <w:t>Team Results</w:t>
      </w:r>
      <w:r>
        <w:rPr>
          <w:rFonts w:hint="default" w:ascii="Times New Roman" w:hAnsi="Times New Roman" w:eastAsia="Geist Fallback" w:cs="Times New Roman"/>
          <w:i w:val="0"/>
          <w:iCs w:val="0"/>
          <w:caps w:val="0"/>
          <w:spacing w:val="0"/>
          <w:sz w:val="24"/>
          <w:szCs w:val="24"/>
          <w:bdr w:val="none" w:color="auto" w:sz="0" w:space="0"/>
        </w:rPr>
        <w:fldChar w:fldCharType="end"/>
      </w:r>
    </w:p>
    <w:p w14:paraId="4BA88E3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bdr w:val="none" w:color="auto" w:sz="0" w:space="0"/>
        </w:rPr>
        <w:t xml:space="preserve">However, these experiments characterized the effect of Gpa1 humanization on the native α-factor pathway. Direct functional coupling between the humanized Gpa1 chimera and hM1Dq in the complete receptor system still requires further validation. </w:t>
      </w:r>
      <w:r>
        <w:rPr>
          <w:rFonts w:hint="default" w:ascii="Times New Roman" w:hAnsi="Times New Roman" w:eastAsia="Geist Fallback" w:cs="Times New Roman"/>
          <w:i w:val="0"/>
          <w:iCs w:val="0"/>
          <w:caps w:val="0"/>
          <w:spacing w:val="0"/>
          <w:sz w:val="24"/>
          <w:szCs w:val="24"/>
          <w:bdr w:val="none" w:color="auto" w:sz="0" w:space="0"/>
        </w:rPr>
        <w:fldChar w:fldCharType="begin"/>
      </w:r>
      <w:r>
        <w:rPr>
          <w:rFonts w:hint="default" w:ascii="Times New Roman" w:hAnsi="Times New Roman" w:eastAsia="Geist Fallback" w:cs="Times New Roman"/>
          <w:i w:val="0"/>
          <w:iCs w:val="0"/>
          <w:caps w:val="0"/>
          <w:spacing w:val="0"/>
          <w:sz w:val="24"/>
          <w:szCs w:val="24"/>
          <w:bdr w:val="none" w:color="auto" w:sz="0" w:space="0"/>
        </w:rPr>
        <w:instrText xml:space="preserve"> HYPERLINK "https://2026.igem.wiki/szpu-china/results" \t "https://infmind.cn/chat/_blank" </w:instrText>
      </w:r>
      <w:r>
        <w:rPr>
          <w:rFonts w:hint="default" w:ascii="Times New Roman" w:hAnsi="Times New Roman" w:eastAsia="Geist Fallback" w:cs="Times New Roman"/>
          <w:i w:val="0"/>
          <w:iCs w:val="0"/>
          <w:caps w:val="0"/>
          <w:spacing w:val="0"/>
          <w:sz w:val="24"/>
          <w:szCs w:val="24"/>
          <w:bdr w:val="none" w:color="auto" w:sz="0" w:space="0"/>
        </w:rPr>
        <w:fldChar w:fldCharType="separate"/>
      </w:r>
      <w:r>
        <w:rPr>
          <w:rStyle w:val="10"/>
          <w:rFonts w:hint="default" w:ascii="Times New Roman" w:hAnsi="Times New Roman" w:eastAsia="Geist Fallback" w:cs="Times New Roman"/>
          <w:i w:val="0"/>
          <w:iCs w:val="0"/>
          <w:caps w:val="0"/>
          <w:spacing w:val="0"/>
          <w:sz w:val="24"/>
          <w:szCs w:val="24"/>
          <w:bdr w:val="none" w:color="auto" w:sz="0" w:space="0"/>
        </w:rPr>
        <w:t>Team Results</w:t>
      </w:r>
      <w:r>
        <w:rPr>
          <w:rFonts w:hint="default" w:ascii="Times New Roman" w:hAnsi="Times New Roman" w:eastAsia="Geist Fallback" w:cs="Times New Roman"/>
          <w:i w:val="0"/>
          <w:iCs w:val="0"/>
          <w:caps w:val="0"/>
          <w:spacing w:val="0"/>
          <w:sz w:val="24"/>
          <w:szCs w:val="24"/>
          <w:bdr w:val="none" w:color="auto" w:sz="0" w:space="0"/>
        </w:rPr>
        <w:fldChar w:fldCharType="end"/>
      </w:r>
    </w:p>
    <w:p w14:paraId="68CFFF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36"/>
          <w:szCs w:val="36"/>
        </w:rPr>
      </w:pPr>
      <w:r>
        <w:rPr>
          <w:rFonts w:hint="default" w:ascii="Times New Roman" w:hAnsi="Times New Roman" w:eastAsia="Geist Fallback" w:cs="Times New Roman"/>
          <w:i w:val="0"/>
          <w:iCs w:val="0"/>
          <w:caps w:val="0"/>
          <w:spacing w:val="0"/>
          <w:sz w:val="36"/>
          <w:szCs w:val="36"/>
          <w:bdr w:val="none" w:color="auto" w:sz="0" w:space="0"/>
        </w:rPr>
        <w:t>15.2 Next experimental priorities</w:t>
      </w:r>
    </w:p>
    <w:p w14:paraId="350B857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bdr w:val="none" w:color="auto" w:sz="0" w:space="0"/>
        </w:rPr>
        <w:t>Our next step is to validate the receptor pathway in a modular order.</w:t>
      </w:r>
    </w:p>
    <w:p w14:paraId="45AC3FD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bdr w:val="none" w:color="auto" w:sz="0" w:space="0"/>
        </w:rPr>
        <w:t>First, receptor expression, stability and membrane localization should be evaluated separately. Second, the basic hM1Dq–G-protein–MAPK connection should be tested without the complete antigen-gating architecture. Third, TEV-mediated removal of the inhibitory region can be used to examine whether the downstream pathway is functional. Finally, HA recognition and HA-dependent receptor activation should be tested in the complete receptor.</w:t>
      </w:r>
    </w:p>
    <w:p w14:paraId="2D64E22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bdr w:val="none" w:color="auto" w:sz="0" w:space="0"/>
        </w:rPr>
        <w:t>If a reproducible HA-dependent response is obtained, the system should then be characterized for limit of detection, dynamic range, response time, signal-to-background ratio, specificity, reproducibility, sample-matrix interference and comparison with a reference method.</w:t>
      </w:r>
    </w:p>
    <w:p w14:paraId="2F1F2D1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bdr w:val="none" w:color="auto" w:sz="0" w:space="0"/>
        </w:rPr>
        <w:t>Sampling integration should be evaluated only after the biological response has been established.</w:t>
      </w:r>
    </w:p>
    <w:p w14:paraId="609419A4">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4BB536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45"/>
          <w:szCs w:val="45"/>
        </w:rPr>
      </w:pPr>
      <w:r>
        <w:rPr>
          <w:rFonts w:hint="default" w:ascii="Times New Roman" w:hAnsi="Times New Roman" w:eastAsia="Geist Fallback" w:cs="Times New Roman"/>
          <w:i w:val="0"/>
          <w:iCs w:val="0"/>
          <w:caps w:val="0"/>
          <w:spacing w:val="0"/>
          <w:sz w:val="45"/>
          <w:szCs w:val="45"/>
          <w:bdr w:val="none" w:color="auto" w:sz="0" w:space="0"/>
        </w:rPr>
        <w:t>Conclusion</w:t>
      </w:r>
    </w:p>
    <w:p w14:paraId="5E3E2D8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bdr w:val="none" w:color="auto" w:sz="0" w:space="0"/>
        </w:rPr>
        <w:t>EchoYeast explores whether engineered yeast can convert influenza A HA recognition into a measurable cellular response.</w:t>
      </w:r>
    </w:p>
    <w:p w14:paraId="7EDB984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bdr w:val="none" w:color="auto" w:sz="0" w:space="0"/>
        </w:rPr>
        <w:t xml:space="preserve">The project combines literature-informed HA stem-region recognition, R1a-B6 nanobody-based antigen recognition, PAGER-inspired receptor design, hM1Dq and DCZ-dependent activation, Gpa1–Gαq coupling, FAR1/SST2 chassis engineering, FUS1-driven reporter routes, model-guided candidate prioritization and temperature-controlled optical readout. </w:t>
      </w:r>
      <w:r>
        <w:rPr>
          <w:rFonts w:hint="default" w:ascii="Times New Roman" w:hAnsi="Times New Roman" w:eastAsia="Geist Fallback" w:cs="Times New Roman"/>
          <w:i w:val="0"/>
          <w:iCs w:val="0"/>
          <w:caps w:val="0"/>
          <w:spacing w:val="0"/>
          <w:sz w:val="24"/>
          <w:szCs w:val="24"/>
          <w:bdr w:val="none" w:color="auto" w:sz="0" w:space="0"/>
        </w:rPr>
        <w:fldChar w:fldCharType="begin"/>
      </w:r>
      <w:r>
        <w:rPr>
          <w:rFonts w:hint="default" w:ascii="Times New Roman" w:hAnsi="Times New Roman" w:eastAsia="Geist Fallback" w:cs="Times New Roman"/>
          <w:i w:val="0"/>
          <w:iCs w:val="0"/>
          <w:caps w:val="0"/>
          <w:spacing w:val="0"/>
          <w:sz w:val="24"/>
          <w:szCs w:val="24"/>
          <w:bdr w:val="none" w:color="auto" w:sz="0" w:space="0"/>
        </w:rPr>
        <w:instrText xml:space="preserve"> HYPERLINK "https://2026.igem.wiki/szpu-china/design" \t "https://infmind.cn/chat/_blank" </w:instrText>
      </w:r>
      <w:r>
        <w:rPr>
          <w:rFonts w:hint="default" w:ascii="Times New Roman" w:hAnsi="Times New Roman" w:eastAsia="Geist Fallback" w:cs="Times New Roman"/>
          <w:i w:val="0"/>
          <w:iCs w:val="0"/>
          <w:caps w:val="0"/>
          <w:spacing w:val="0"/>
          <w:sz w:val="24"/>
          <w:szCs w:val="24"/>
          <w:bdr w:val="none" w:color="auto" w:sz="0" w:space="0"/>
        </w:rPr>
        <w:fldChar w:fldCharType="separate"/>
      </w:r>
      <w:r>
        <w:rPr>
          <w:rStyle w:val="10"/>
          <w:rFonts w:hint="default" w:ascii="Times New Roman" w:hAnsi="Times New Roman" w:eastAsia="Geist Fallback" w:cs="Times New Roman"/>
          <w:i w:val="0"/>
          <w:iCs w:val="0"/>
          <w:caps w:val="0"/>
          <w:spacing w:val="0"/>
          <w:sz w:val="24"/>
          <w:szCs w:val="24"/>
          <w:bdr w:val="none" w:color="auto" w:sz="0" w:space="0"/>
        </w:rPr>
        <w:t>Team Design</w:t>
      </w:r>
      <w:r>
        <w:rPr>
          <w:rFonts w:hint="default" w:ascii="Times New Roman" w:hAnsi="Times New Roman" w:eastAsia="Geist Fallback" w:cs="Times New Roman"/>
          <w:i w:val="0"/>
          <w:iCs w:val="0"/>
          <w:caps w:val="0"/>
          <w:spacing w:val="0"/>
          <w:sz w:val="24"/>
          <w:szCs w:val="24"/>
          <w:bdr w:val="none" w:color="auto" w:sz="0" w:space="0"/>
        </w:rPr>
        <w:fldChar w:fldCharType="end"/>
      </w:r>
    </w:p>
    <w:p w14:paraId="768EFB2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bdr w:val="none" w:color="auto" w:sz="0" w:space="0"/>
        </w:rPr>
        <w:t xml:space="preserve">Through iterative DBTL cycles, we established a functional downstream FUS1 reporter system, obtained engineered chassis strains and developed several receptor and hardware modules. </w:t>
      </w:r>
      <w:r>
        <w:rPr>
          <w:rFonts w:hint="default" w:ascii="Times New Roman" w:hAnsi="Times New Roman" w:eastAsia="Geist Fallback" w:cs="Times New Roman"/>
          <w:i w:val="0"/>
          <w:iCs w:val="0"/>
          <w:caps w:val="0"/>
          <w:spacing w:val="0"/>
          <w:sz w:val="24"/>
          <w:szCs w:val="24"/>
          <w:bdr w:val="none" w:color="auto" w:sz="0" w:space="0"/>
        </w:rPr>
        <w:fldChar w:fldCharType="begin"/>
      </w:r>
      <w:r>
        <w:rPr>
          <w:rFonts w:hint="default" w:ascii="Times New Roman" w:hAnsi="Times New Roman" w:eastAsia="Geist Fallback" w:cs="Times New Roman"/>
          <w:i w:val="0"/>
          <w:iCs w:val="0"/>
          <w:caps w:val="0"/>
          <w:spacing w:val="0"/>
          <w:sz w:val="24"/>
          <w:szCs w:val="24"/>
          <w:bdr w:val="none" w:color="auto" w:sz="0" w:space="0"/>
        </w:rPr>
        <w:instrText xml:space="preserve"> HYPERLINK "https://2026.igem.wiki/szpu-china/engineering" \t "https://infmind.cn/chat/_blank" </w:instrText>
      </w:r>
      <w:r>
        <w:rPr>
          <w:rFonts w:hint="default" w:ascii="Times New Roman" w:hAnsi="Times New Roman" w:eastAsia="Geist Fallback" w:cs="Times New Roman"/>
          <w:i w:val="0"/>
          <w:iCs w:val="0"/>
          <w:caps w:val="0"/>
          <w:spacing w:val="0"/>
          <w:sz w:val="24"/>
          <w:szCs w:val="24"/>
          <w:bdr w:val="none" w:color="auto" w:sz="0" w:space="0"/>
        </w:rPr>
        <w:fldChar w:fldCharType="separate"/>
      </w:r>
      <w:r>
        <w:rPr>
          <w:rStyle w:val="10"/>
          <w:rFonts w:hint="default" w:ascii="Times New Roman" w:hAnsi="Times New Roman" w:eastAsia="Geist Fallback" w:cs="Times New Roman"/>
          <w:i w:val="0"/>
          <w:iCs w:val="0"/>
          <w:caps w:val="0"/>
          <w:spacing w:val="0"/>
          <w:sz w:val="24"/>
          <w:szCs w:val="24"/>
          <w:bdr w:val="none" w:color="auto" w:sz="0" w:space="0"/>
        </w:rPr>
        <w:t>Team Engineering</w:t>
      </w:r>
      <w:r>
        <w:rPr>
          <w:rFonts w:hint="default" w:ascii="Times New Roman" w:hAnsi="Times New Roman" w:eastAsia="Geist Fallback" w:cs="Times New Roman"/>
          <w:i w:val="0"/>
          <w:iCs w:val="0"/>
          <w:caps w:val="0"/>
          <w:spacing w:val="0"/>
          <w:sz w:val="24"/>
          <w:szCs w:val="24"/>
          <w:bdr w:val="none" w:color="auto" w:sz="0" w:space="0"/>
        </w:rPr>
        <w:fldChar w:fldCharType="end"/>
      </w:r>
      <w:r>
        <w:rPr>
          <w:rFonts w:hint="default" w:ascii="Times New Roman" w:hAnsi="Times New Roman" w:eastAsia="Geist Fallback" w:cs="Times New Roman"/>
          <w:i w:val="0"/>
          <w:iCs w:val="0"/>
          <w:caps w:val="0"/>
          <w:spacing w:val="0"/>
          <w:sz w:val="24"/>
          <w:szCs w:val="24"/>
          <w:bdr w:val="none" w:color="auto" w:sz="0" w:space="0"/>
        </w:rPr>
        <w:t xml:space="preserve"> </w:t>
      </w:r>
      <w:r>
        <w:rPr>
          <w:rFonts w:hint="default" w:ascii="Times New Roman" w:hAnsi="Times New Roman" w:eastAsia="Geist Fallback" w:cs="Times New Roman"/>
          <w:i w:val="0"/>
          <w:iCs w:val="0"/>
          <w:caps w:val="0"/>
          <w:spacing w:val="0"/>
          <w:sz w:val="24"/>
          <w:szCs w:val="24"/>
          <w:bdr w:val="none" w:color="auto" w:sz="0" w:space="0"/>
        </w:rPr>
        <w:fldChar w:fldCharType="begin"/>
      </w:r>
      <w:r>
        <w:rPr>
          <w:rFonts w:hint="default" w:ascii="Times New Roman" w:hAnsi="Times New Roman" w:eastAsia="Geist Fallback" w:cs="Times New Roman"/>
          <w:i w:val="0"/>
          <w:iCs w:val="0"/>
          <w:caps w:val="0"/>
          <w:spacing w:val="0"/>
          <w:sz w:val="24"/>
          <w:szCs w:val="24"/>
          <w:bdr w:val="none" w:color="auto" w:sz="0" w:space="0"/>
        </w:rPr>
        <w:instrText xml:space="preserve"> HYPERLINK "https://2026.igem.wiki/szpu-china/results" \t "https://infmind.cn/chat/_blank" </w:instrText>
      </w:r>
      <w:r>
        <w:rPr>
          <w:rFonts w:hint="default" w:ascii="Times New Roman" w:hAnsi="Times New Roman" w:eastAsia="Geist Fallback" w:cs="Times New Roman"/>
          <w:i w:val="0"/>
          <w:iCs w:val="0"/>
          <w:caps w:val="0"/>
          <w:spacing w:val="0"/>
          <w:sz w:val="24"/>
          <w:szCs w:val="24"/>
          <w:bdr w:val="none" w:color="auto" w:sz="0" w:space="0"/>
        </w:rPr>
        <w:fldChar w:fldCharType="separate"/>
      </w:r>
      <w:r>
        <w:rPr>
          <w:rStyle w:val="10"/>
          <w:rFonts w:hint="default" w:ascii="Times New Roman" w:hAnsi="Times New Roman" w:eastAsia="Geist Fallback" w:cs="Times New Roman"/>
          <w:i w:val="0"/>
          <w:iCs w:val="0"/>
          <w:caps w:val="0"/>
          <w:spacing w:val="0"/>
          <w:sz w:val="24"/>
          <w:szCs w:val="24"/>
          <w:bdr w:val="none" w:color="auto" w:sz="0" w:space="0"/>
        </w:rPr>
        <w:t>Team Results</w:t>
      </w:r>
      <w:r>
        <w:rPr>
          <w:rFonts w:hint="default" w:ascii="Times New Roman" w:hAnsi="Times New Roman" w:eastAsia="Geist Fallback" w:cs="Times New Roman"/>
          <w:i w:val="0"/>
          <w:iCs w:val="0"/>
          <w:caps w:val="0"/>
          <w:spacing w:val="0"/>
          <w:sz w:val="24"/>
          <w:szCs w:val="24"/>
          <w:bdr w:val="none" w:color="auto" w:sz="0" w:space="0"/>
        </w:rPr>
        <w:fldChar w:fldCharType="end"/>
      </w:r>
    </w:p>
    <w:p w14:paraId="790DBA3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bdr w:val="none" w:color="auto" w:sz="0" w:space="0"/>
        </w:rPr>
        <w:t xml:space="preserve">At the same time, the complete HA-gated receptor-to-reporter pathway has not yet been experimentally validated, and the integration of aerosol sampling with biological sensing remains a future objective. </w:t>
      </w:r>
      <w:r>
        <w:rPr>
          <w:rFonts w:hint="default" w:ascii="Times New Roman" w:hAnsi="Times New Roman" w:eastAsia="Geist Fallback" w:cs="Times New Roman"/>
          <w:i w:val="0"/>
          <w:iCs w:val="0"/>
          <w:caps w:val="0"/>
          <w:spacing w:val="0"/>
          <w:sz w:val="24"/>
          <w:szCs w:val="24"/>
          <w:bdr w:val="none" w:color="auto" w:sz="0" w:space="0"/>
        </w:rPr>
        <w:fldChar w:fldCharType="begin"/>
      </w:r>
      <w:r>
        <w:rPr>
          <w:rFonts w:hint="default" w:ascii="Times New Roman" w:hAnsi="Times New Roman" w:eastAsia="Geist Fallback" w:cs="Times New Roman"/>
          <w:i w:val="0"/>
          <w:iCs w:val="0"/>
          <w:caps w:val="0"/>
          <w:spacing w:val="0"/>
          <w:sz w:val="24"/>
          <w:szCs w:val="24"/>
          <w:bdr w:val="none" w:color="auto" w:sz="0" w:space="0"/>
        </w:rPr>
        <w:instrText xml:space="preserve"> HYPERLINK "https://2026.igem.wiki/szpu-china/results" \t "https://infmind.cn/chat/_blank" </w:instrText>
      </w:r>
      <w:r>
        <w:rPr>
          <w:rFonts w:hint="default" w:ascii="Times New Roman" w:hAnsi="Times New Roman" w:eastAsia="Geist Fallback" w:cs="Times New Roman"/>
          <w:i w:val="0"/>
          <w:iCs w:val="0"/>
          <w:caps w:val="0"/>
          <w:spacing w:val="0"/>
          <w:sz w:val="24"/>
          <w:szCs w:val="24"/>
          <w:bdr w:val="none" w:color="auto" w:sz="0" w:space="0"/>
        </w:rPr>
        <w:fldChar w:fldCharType="separate"/>
      </w:r>
      <w:r>
        <w:rPr>
          <w:rStyle w:val="10"/>
          <w:rFonts w:hint="default" w:ascii="Times New Roman" w:hAnsi="Times New Roman" w:eastAsia="Geist Fallback" w:cs="Times New Roman"/>
          <w:i w:val="0"/>
          <w:iCs w:val="0"/>
          <w:caps w:val="0"/>
          <w:spacing w:val="0"/>
          <w:sz w:val="24"/>
          <w:szCs w:val="24"/>
          <w:bdr w:val="none" w:color="auto" w:sz="0" w:space="0"/>
        </w:rPr>
        <w:t>Team Results</w:t>
      </w:r>
      <w:r>
        <w:rPr>
          <w:rFonts w:hint="default" w:ascii="Times New Roman" w:hAnsi="Times New Roman" w:eastAsia="Geist Fallback" w:cs="Times New Roman"/>
          <w:i w:val="0"/>
          <w:iCs w:val="0"/>
          <w:caps w:val="0"/>
          <w:spacing w:val="0"/>
          <w:sz w:val="24"/>
          <w:szCs w:val="24"/>
          <w:bdr w:val="none" w:color="auto" w:sz="0" w:space="0"/>
        </w:rPr>
        <w:fldChar w:fldCharType="end"/>
      </w:r>
    </w:p>
    <w:p w14:paraId="0C7BBB0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bdr w:val="none" w:color="auto" w:sz="0" w:space="0"/>
        </w:rPr>
        <w:t>We therefore present EchoYeast as a modular and testable living-cell biosensor framework, rather than a finished diagnostic product.</w:t>
      </w:r>
    </w:p>
    <w:p w14:paraId="1A32747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b/>
          <w:bCs/>
          <w:i/>
          <w:iCs/>
          <w:caps w:val="0"/>
          <w:spacing w:val="0"/>
          <w:sz w:val="24"/>
          <w:szCs w:val="24"/>
          <w:bdr w:val="none" w:color="auto" w:sz="0" w:space="0"/>
        </w:rPr>
        <w:t>Our vision is to let yeast respond to influenza signals.</w:t>
      </w:r>
      <w:bookmarkStart w:id="0" w:name="_GoBack"/>
      <w:bookmarkEnd w:id="0"/>
      <w:r>
        <w:rPr>
          <w:rFonts w:hint="default" w:ascii="Times New Roman" w:hAnsi="Times New Roman" w:eastAsia="Geist Fallback" w:cs="Times New Roman"/>
          <w:i/>
          <w:iCs/>
          <w:caps w:val="0"/>
          <w:spacing w:val="0"/>
          <w:sz w:val="24"/>
          <w:szCs w:val="24"/>
          <w:bdr w:val="none" w:color="auto" w:sz="0" w:space="0"/>
        </w:rPr>
        <w:br w:type="textWrapping"/>
      </w:r>
      <w:r>
        <w:rPr>
          <w:rFonts w:hint="default" w:ascii="Times New Roman" w:hAnsi="Times New Roman" w:eastAsia="Geist Fallback" w:cs="Times New Roman"/>
          <w:b/>
          <w:bCs/>
          <w:i/>
          <w:iCs/>
          <w:caps w:val="0"/>
          <w:spacing w:val="0"/>
          <w:sz w:val="24"/>
          <w:szCs w:val="24"/>
          <w:bdr w:val="none" w:color="auto" w:sz="0" w:space="0"/>
        </w:rPr>
        <w:t>Our responsibility is to prove every step of that response.</w:t>
      </w:r>
    </w:p>
    <w:p w14:paraId="7F6786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60" w:afterAutospacing="0"/>
        <w:ind w:left="0" w:right="0" w:firstLine="0"/>
        <w:rPr>
          <w:rFonts w:hint="default" w:ascii="Times New Roman" w:hAnsi="Times New Roman" w:eastAsia="Geist Fallback" w:cs="Times New Roman"/>
          <w:i w:val="0"/>
          <w:iCs w:val="0"/>
          <w:caps w:val="0"/>
          <w:spacing w:val="0"/>
          <w:sz w:val="45"/>
          <w:szCs w:val="45"/>
        </w:rPr>
      </w:pPr>
      <w:r>
        <w:rPr>
          <w:rFonts w:hint="default" w:ascii="Times New Roman" w:hAnsi="Times New Roman" w:eastAsia="Geist Fallback" w:cs="Times New Roman"/>
          <w:i w:val="0"/>
          <w:iCs w:val="0"/>
          <w:caps w:val="0"/>
          <w:spacing w:val="0"/>
          <w:sz w:val="45"/>
          <w:szCs w:val="45"/>
        </w:rPr>
        <w:t>References</w:t>
      </w:r>
    </w:p>
    <w:p w14:paraId="2BD8F92B">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p>
    <w:p w14:paraId="6FB8623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rPr>
        <w:t xml:space="preserve">World Health Organization. </w:t>
      </w:r>
      <w:r>
        <w:rPr>
          <w:rFonts w:hint="default" w:ascii="Times New Roman" w:hAnsi="Times New Roman" w:eastAsia="Geist Fallback" w:cs="Times New Roman"/>
          <w:b/>
          <w:bCs/>
          <w:i w:val="0"/>
          <w:iCs w:val="0"/>
          <w:caps w:val="0"/>
          <w:spacing w:val="0"/>
          <w:sz w:val="24"/>
          <w:szCs w:val="24"/>
        </w:rPr>
        <w:t>Influenza (seasonal)</w:t>
      </w:r>
      <w:r>
        <w:rPr>
          <w:rFonts w:hint="default" w:ascii="Times New Roman" w:hAnsi="Times New Roman" w:eastAsia="Geist Fallback" w:cs="Times New Roman"/>
          <w:i w:val="0"/>
          <w:iCs w:val="0"/>
          <w:caps w:val="0"/>
          <w:spacing w:val="0"/>
          <w:sz w:val="24"/>
          <w:szCs w:val="24"/>
        </w:rPr>
        <w:t xml:space="preserve"> [Internet]. Geneva: World Health Organization. Available from: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"https://www.who.int/news-room/fact-sheets/detail/influenza-(seasonal)"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https://www.who.int/news-room/fact-sheets/detail/influenza-(seasonal)</w:t>
      </w:r>
      <w:r>
        <w:rPr>
          <w:rFonts w:hint="default" w:ascii="Times New Roman" w:hAnsi="Times New Roman" w:eastAsia="Geist Fallback" w:cs="Times New Roman"/>
          <w:i w:val="0"/>
          <w:iCs w:val="0"/>
          <w:caps w:val="0"/>
          <w:spacing w:val="0"/>
          <w:sz w:val="24"/>
          <w:szCs w:val="24"/>
        </w:rPr>
        <w:fldChar w:fldCharType="end"/>
      </w:r>
      <w:r>
        <w:rPr>
          <w:rFonts w:hint="default" w:ascii="Times New Roman" w:hAnsi="Times New Roman" w:eastAsia="Geist Fallback" w:cs="Times New Roman"/>
          <w:i w:val="0"/>
          <w:iCs w:val="0"/>
          <w:caps w:val="0"/>
          <w:spacing w:val="0"/>
          <w:sz w:val="24"/>
          <w:szCs w:val="24"/>
        </w:rPr>
        <w:t>.</w:t>
      </w:r>
    </w:p>
    <w:p w14:paraId="73A6876E">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p>
    <w:p w14:paraId="05A7F14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default" w:ascii="Times New Roman" w:hAnsi="Times New Roman" w:cs="Times New Roman"/>
        </w:rPr>
      </w:pPr>
    </w:p>
    <w:p w14:paraId="6876E82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rPr>
        <w:t xml:space="preserve">World Health Organization. </w:t>
      </w:r>
      <w:r>
        <w:rPr>
          <w:rFonts w:hint="default" w:ascii="Times New Roman" w:hAnsi="Times New Roman" w:eastAsia="Geist Fallback" w:cs="Times New Roman"/>
          <w:b/>
          <w:bCs/>
          <w:i w:val="0"/>
          <w:iCs w:val="0"/>
          <w:caps w:val="0"/>
          <w:spacing w:val="0"/>
          <w:sz w:val="24"/>
          <w:szCs w:val="24"/>
        </w:rPr>
        <w:t>Global influenza strategy 2019–2030</w:t>
      </w:r>
      <w:r>
        <w:rPr>
          <w:rFonts w:hint="default" w:ascii="Times New Roman" w:hAnsi="Times New Roman" w:eastAsia="Geist Fallback" w:cs="Times New Roman"/>
          <w:i w:val="0"/>
          <w:iCs w:val="0"/>
          <w:caps w:val="0"/>
          <w:spacing w:val="0"/>
          <w:sz w:val="24"/>
          <w:szCs w:val="24"/>
        </w:rPr>
        <w:t xml:space="preserve"> [Internet]. Geneva: World Health Organization; 2019. Available from: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"https://www.who.int/publications/i/item/9789241515320"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https://www.who.int/publications/i/item/9789241515320</w:t>
      </w:r>
      <w:r>
        <w:rPr>
          <w:rFonts w:hint="default" w:ascii="Times New Roman" w:hAnsi="Times New Roman" w:eastAsia="Geist Fallback" w:cs="Times New Roman"/>
          <w:i w:val="0"/>
          <w:iCs w:val="0"/>
          <w:caps w:val="0"/>
          <w:spacing w:val="0"/>
          <w:sz w:val="24"/>
          <w:szCs w:val="24"/>
        </w:rPr>
        <w:fldChar w:fldCharType="end"/>
      </w:r>
      <w:r>
        <w:rPr>
          <w:rFonts w:hint="default" w:ascii="Times New Roman" w:hAnsi="Times New Roman" w:eastAsia="Geist Fallback" w:cs="Times New Roman"/>
          <w:i w:val="0"/>
          <w:iCs w:val="0"/>
          <w:caps w:val="0"/>
          <w:spacing w:val="0"/>
          <w:sz w:val="24"/>
          <w:szCs w:val="24"/>
        </w:rPr>
        <w:t>.</w:t>
      </w:r>
    </w:p>
    <w:p w14:paraId="1832BCEA">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p>
    <w:p w14:paraId="08E736C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default" w:ascii="Times New Roman" w:hAnsi="Times New Roman" w:cs="Times New Roman"/>
        </w:rPr>
      </w:pPr>
    </w:p>
    <w:p w14:paraId="10AA9C1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rPr>
        <w:t xml:space="preserve">United Nations Department of Economic and Social Affairs. </w:t>
      </w:r>
      <w:r>
        <w:rPr>
          <w:rFonts w:hint="default" w:ascii="Times New Roman" w:hAnsi="Times New Roman" w:eastAsia="Geist Fallback" w:cs="Times New Roman"/>
          <w:b/>
          <w:bCs/>
          <w:i w:val="0"/>
          <w:iCs w:val="0"/>
          <w:caps w:val="0"/>
          <w:spacing w:val="0"/>
          <w:sz w:val="24"/>
          <w:szCs w:val="24"/>
        </w:rPr>
        <w:t>Goal 3: Ensure healthy lives and promote well-being for all at all ages</w:t>
      </w:r>
      <w:r>
        <w:rPr>
          <w:rFonts w:hint="default" w:ascii="Times New Roman" w:hAnsi="Times New Roman" w:eastAsia="Geist Fallback" w:cs="Times New Roman"/>
          <w:i w:val="0"/>
          <w:iCs w:val="0"/>
          <w:caps w:val="0"/>
          <w:spacing w:val="0"/>
          <w:sz w:val="24"/>
          <w:szCs w:val="24"/>
        </w:rPr>
        <w:t xml:space="preserve"> [Internet]. Available from: </w:t>
      </w:r>
      <w:r>
        <w:rPr>
          <w:rFonts w:hint="default" w:ascii="Times New Roman" w:hAnsi="Times New Roman" w:eastAsia="Geist Fallback" w:cs="Times New Roman"/>
          <w:i w:val="0"/>
          <w:iCs w:val="0"/>
          <w:caps w:val="0"/>
          <w:spacing w:val="0"/>
          <w:sz w:val="24"/>
          <w:szCs w:val="24"/>
        </w:rPr>
        <w:fldChar w:fldCharType="begin"/>
      </w:r>
      <w:r>
        <w:rPr>
          <w:rFonts w:hint="default" w:ascii="Times New Roman" w:hAnsi="Times New Roman" w:eastAsia="Geist Fallback" w:cs="Times New Roman"/>
          <w:i w:val="0"/>
          <w:iCs w:val="0"/>
          <w:caps w:val="0"/>
          <w:spacing w:val="0"/>
          <w:sz w:val="24"/>
          <w:szCs w:val="24"/>
        </w:rPr>
        <w:instrText xml:space="preserve"> HYPERLINK "https://sdgs.un.org/goals/goal3" \t "https://infmind.cn/chat/_blank" </w:instrText>
      </w:r>
      <w:r>
        <w:rPr>
          <w:rFonts w:hint="default" w:ascii="Times New Roman" w:hAnsi="Times New Roman" w:eastAsia="Geist Fallback" w:cs="Times New Roman"/>
          <w:i w:val="0"/>
          <w:iCs w:val="0"/>
          <w:caps w:val="0"/>
          <w:spacing w:val="0"/>
          <w:sz w:val="24"/>
          <w:szCs w:val="24"/>
        </w:rPr>
        <w:fldChar w:fldCharType="separate"/>
      </w:r>
      <w:r>
        <w:rPr>
          <w:rStyle w:val="10"/>
          <w:rFonts w:hint="default" w:ascii="Times New Roman" w:hAnsi="Times New Roman" w:eastAsia="Geist Fallback" w:cs="Times New Roman"/>
          <w:i w:val="0"/>
          <w:iCs w:val="0"/>
          <w:caps w:val="0"/>
          <w:spacing w:val="0"/>
          <w:sz w:val="24"/>
          <w:szCs w:val="24"/>
        </w:rPr>
        <w:t>https://sdgs.un.org/goals/goal3</w:t>
      </w:r>
      <w:r>
        <w:rPr>
          <w:rFonts w:hint="default" w:ascii="Times New Roman" w:hAnsi="Times New Roman" w:eastAsia="Geist Fallback" w:cs="Times New Roman"/>
          <w:i w:val="0"/>
          <w:iCs w:val="0"/>
          <w:caps w:val="0"/>
          <w:spacing w:val="0"/>
          <w:sz w:val="24"/>
          <w:szCs w:val="24"/>
        </w:rPr>
        <w:fldChar w:fldCharType="end"/>
      </w:r>
      <w:r>
        <w:rPr>
          <w:rFonts w:hint="default" w:ascii="Times New Roman" w:hAnsi="Times New Roman" w:eastAsia="Geist Fallback" w:cs="Times New Roman"/>
          <w:i w:val="0"/>
          <w:iCs w:val="0"/>
          <w:caps w:val="0"/>
          <w:spacing w:val="0"/>
          <w:sz w:val="24"/>
          <w:szCs w:val="24"/>
        </w:rPr>
        <w:t>.</w:t>
      </w:r>
    </w:p>
    <w:p w14:paraId="0F0E12CB">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eastAsia="Geist Fallback" w:cs="Times New Roman"/>
          <w:i w:val="0"/>
          <w:iCs w:val="0"/>
          <w:caps w:val="0"/>
          <w:spacing w:val="0"/>
          <w:kern w:val="0"/>
          <w:sz w:val="24"/>
          <w:szCs w:val="24"/>
          <w:lang w:val="en-US" w:eastAsia="zh-CN" w:bidi="ar"/>
        </w:rPr>
      </w:pPr>
      <w:r>
        <w:rPr>
          <w:rFonts w:hint="default" w:ascii="Times New Roman" w:hAnsi="Times New Roman" w:eastAsia="Geist Fallback" w:cs="Times New Roman"/>
          <w:i w:val="0"/>
          <w:iCs w:val="0"/>
          <w:caps w:val="0"/>
          <w:spacing w:val="0"/>
          <w:kern w:val="0"/>
          <w:sz w:val="24"/>
          <w:szCs w:val="24"/>
          <w:lang w:val="en-US" w:eastAsia="zh-CN" w:bidi="ar"/>
        </w:rPr>
        <w:t xml:space="preserve">National Disease Control and Prevention Administration, National Health Commission, National Development and Reform Commission, Ministry of Education, Ministry of Civil Affairs, Ministry of Finance, Ministry of Agriculture and Rural Affairs, General Administration of Customs, and National Forestry and Grassland Administration. Notice on Issuing the Guiding Opinions on Establishing and Improving an Intelligent Multi-Point Trigger Infectious Disease Surveillance and Early Warning System [关于印发《关于建立健全智慧化多点触发传染病监测预警体系的指导意见》的通知] [Internet]. Document No. 国疾控监测发〔2024〕16号. 2024 Aug 23. Available from: </w:t>
      </w:r>
      <w:r>
        <w:rPr>
          <w:rFonts w:hint="default" w:ascii="Times New Roman" w:hAnsi="Times New Roman" w:eastAsia="Geist Fallback" w:cs="Times New Roman"/>
          <w:i w:val="0"/>
          <w:iCs w:val="0"/>
          <w:caps w:val="0"/>
          <w:spacing w:val="0"/>
          <w:kern w:val="0"/>
          <w:sz w:val="24"/>
          <w:szCs w:val="24"/>
          <w:lang w:val="en-US" w:eastAsia="zh-CN" w:bidi="ar"/>
        </w:rPr>
        <w:fldChar w:fldCharType="begin"/>
      </w:r>
      <w:r>
        <w:rPr>
          <w:rFonts w:hint="default" w:ascii="Times New Roman" w:hAnsi="Times New Roman" w:eastAsia="Geist Fallback" w:cs="Times New Roman"/>
          <w:i w:val="0"/>
          <w:iCs w:val="0"/>
          <w:caps w:val="0"/>
          <w:spacing w:val="0"/>
          <w:kern w:val="0"/>
          <w:sz w:val="24"/>
          <w:szCs w:val="24"/>
          <w:lang w:val="en-US" w:eastAsia="zh-CN" w:bidi="ar"/>
        </w:rPr>
        <w:instrText xml:space="preserve"> HYPERLINK "https://www.gov.cn/zhengce/zhengceku/202408/content_6971481.htm" \t "https://infmind.cn/chat/_blank" </w:instrText>
      </w:r>
      <w:r>
        <w:rPr>
          <w:rFonts w:hint="default" w:ascii="Times New Roman" w:hAnsi="Times New Roman" w:eastAsia="Geist Fallback" w:cs="Times New Roman"/>
          <w:i w:val="0"/>
          <w:iCs w:val="0"/>
          <w:caps w:val="0"/>
          <w:spacing w:val="0"/>
          <w:kern w:val="0"/>
          <w:sz w:val="24"/>
          <w:szCs w:val="24"/>
          <w:lang w:val="en-US" w:eastAsia="zh-CN" w:bidi="ar"/>
        </w:rPr>
        <w:fldChar w:fldCharType="separate"/>
      </w:r>
      <w:r>
        <w:rPr>
          <w:rFonts w:hint="default" w:ascii="Times New Roman" w:hAnsi="Times New Roman" w:eastAsia="Geist Fallback" w:cs="Times New Roman"/>
          <w:i w:val="0"/>
          <w:iCs w:val="0"/>
          <w:caps w:val="0"/>
          <w:spacing w:val="0"/>
          <w:kern w:val="0"/>
          <w:sz w:val="24"/>
          <w:szCs w:val="24"/>
          <w:lang w:val="en-US" w:eastAsia="zh-CN" w:bidi="ar"/>
        </w:rPr>
        <w:t>https://www.gov.cn/zhengce/zhengceku/202408/content_6971481.htm</w:t>
      </w:r>
      <w:r>
        <w:rPr>
          <w:rFonts w:hint="default" w:ascii="Times New Roman" w:hAnsi="Times New Roman" w:eastAsia="Geist Fallback" w:cs="Times New Roman"/>
          <w:i w:val="0"/>
          <w:iCs w:val="0"/>
          <w:caps w:val="0"/>
          <w:spacing w:val="0"/>
          <w:kern w:val="0"/>
          <w:sz w:val="24"/>
          <w:szCs w:val="24"/>
          <w:lang w:val="en-US" w:eastAsia="zh-CN" w:bidi="ar"/>
        </w:rPr>
        <w:fldChar w:fldCharType="end"/>
      </w:r>
      <w:r>
        <w:rPr>
          <w:rFonts w:hint="default" w:ascii="Times New Roman" w:hAnsi="Times New Roman" w:eastAsia="Geist Fallback" w:cs="Times New Roman"/>
          <w:i w:val="0"/>
          <w:iCs w:val="0"/>
          <w:caps w:val="0"/>
          <w:spacing w:val="0"/>
          <w:kern w:val="0"/>
          <w:sz w:val="24"/>
          <w:szCs w:val="24"/>
          <w:lang w:val="en-US" w:eastAsia="zh-CN" w:bidi="ar"/>
        </w:rPr>
        <w:t>. (In Chinese.)</w:t>
      </w:r>
    </w:p>
    <w:p w14:paraId="687D6C7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default" w:ascii="Times New Roman" w:hAnsi="Times New Roman" w:cs="Times New Roman"/>
        </w:rPr>
      </w:pPr>
    </w:p>
    <w:p w14:paraId="0E6AF4FC">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p>
    <w:p w14:paraId="1B2F8F7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default" w:ascii="Times New Roman" w:hAnsi="Times New Roman" w:cs="Times New Roman"/>
        </w:rPr>
      </w:pPr>
    </w:p>
    <w:p w14:paraId="0BB6478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rPr>
        <w:t xml:space="preserve">Yan J, Grantham M, Pantelic J, Bueno de Mesquita PJ, Albert B, Liu F, et al. Infectious virus in exhaled breath of symptomatic seasonal influenza cases from a college community. </w:t>
      </w:r>
      <w:r>
        <w:rPr>
          <w:rStyle w:val="9"/>
          <w:rFonts w:hint="default" w:ascii="Times New Roman" w:hAnsi="Times New Roman" w:eastAsia="Geist Fallback" w:cs="Times New Roman"/>
          <w:i w:val="0"/>
          <w:iCs w:val="0"/>
          <w:caps w:val="0"/>
          <w:spacing w:val="0"/>
          <w:sz w:val="24"/>
          <w:szCs w:val="24"/>
        </w:rPr>
        <w:t>Proc Natl Acad Sci U S A</w:t>
      </w:r>
      <w:r>
        <w:rPr>
          <w:rFonts w:hint="default" w:ascii="Times New Roman" w:hAnsi="Times New Roman" w:eastAsia="Geist Fallback" w:cs="Times New Roman"/>
          <w:i w:val="0"/>
          <w:iCs w:val="0"/>
          <w:caps w:val="0"/>
          <w:spacing w:val="0"/>
          <w:sz w:val="24"/>
          <w:szCs w:val="24"/>
        </w:rPr>
        <w:t>. 2018;115(5):1081–1086. doi:10.1073/pnas.1716561115.</w:t>
      </w:r>
    </w:p>
    <w:p w14:paraId="45A7AA17">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p>
    <w:p w14:paraId="13B4F06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default" w:ascii="Times New Roman" w:hAnsi="Times New Roman" w:cs="Times New Roman"/>
        </w:rPr>
      </w:pPr>
    </w:p>
    <w:p w14:paraId="135AD33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rPr>
        <w:t xml:space="preserve">Pan M, Lednicky JA, Wu CY. Collection, particle sizing and detection of airborne viruses. </w:t>
      </w:r>
      <w:r>
        <w:rPr>
          <w:rStyle w:val="9"/>
          <w:rFonts w:hint="default" w:ascii="Times New Roman" w:hAnsi="Times New Roman" w:eastAsia="Geist Fallback" w:cs="Times New Roman"/>
          <w:i w:val="0"/>
          <w:iCs w:val="0"/>
          <w:caps w:val="0"/>
          <w:spacing w:val="0"/>
          <w:sz w:val="24"/>
          <w:szCs w:val="24"/>
        </w:rPr>
        <w:t>J Appl Microbiol</w:t>
      </w:r>
      <w:r>
        <w:rPr>
          <w:rFonts w:hint="default" w:ascii="Times New Roman" w:hAnsi="Times New Roman" w:eastAsia="Geist Fallback" w:cs="Times New Roman"/>
          <w:i w:val="0"/>
          <w:iCs w:val="0"/>
          <w:caps w:val="0"/>
          <w:spacing w:val="0"/>
          <w:sz w:val="24"/>
          <w:szCs w:val="24"/>
        </w:rPr>
        <w:t>. 2019;127(6):1596–1611. doi:10.1111/jam.14278.</w:t>
      </w:r>
    </w:p>
    <w:p w14:paraId="522979B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p>
    <w:p w14:paraId="664F500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default" w:ascii="Times New Roman" w:hAnsi="Times New Roman" w:cs="Times New Roman"/>
        </w:rPr>
      </w:pPr>
    </w:p>
    <w:p w14:paraId="6E7067E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rPr>
        <w:t xml:space="preserve">Merckx J, Wali R, Schiller I, Caya C, Gore GC, Chartrand C, et al. Diagnostic accuracy of novel and traditional rapid tests for influenza infection compared with reverse transcriptase polymerase chain reaction: a systematic review and meta-analysis. </w:t>
      </w:r>
      <w:r>
        <w:rPr>
          <w:rStyle w:val="9"/>
          <w:rFonts w:hint="default" w:ascii="Times New Roman" w:hAnsi="Times New Roman" w:eastAsia="Geist Fallback" w:cs="Times New Roman"/>
          <w:i w:val="0"/>
          <w:iCs w:val="0"/>
          <w:caps w:val="0"/>
          <w:spacing w:val="0"/>
          <w:sz w:val="24"/>
          <w:szCs w:val="24"/>
        </w:rPr>
        <w:t>Ann Intern Med</w:t>
      </w:r>
      <w:r>
        <w:rPr>
          <w:rFonts w:hint="default" w:ascii="Times New Roman" w:hAnsi="Times New Roman" w:eastAsia="Geist Fallback" w:cs="Times New Roman"/>
          <w:i w:val="0"/>
          <w:iCs w:val="0"/>
          <w:caps w:val="0"/>
          <w:spacing w:val="0"/>
          <w:sz w:val="24"/>
          <w:szCs w:val="24"/>
        </w:rPr>
        <w:t>. 2017;167(6):394–409. doi:10.7326/M17-0848.</w:t>
      </w:r>
    </w:p>
    <w:p w14:paraId="272487A9">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p>
    <w:p w14:paraId="45C9216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default" w:ascii="Times New Roman" w:hAnsi="Times New Roman" w:cs="Times New Roman"/>
        </w:rPr>
      </w:pPr>
    </w:p>
    <w:p w14:paraId="76A4F34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rPr>
        <w:t xml:space="preserve">Li B, Lin B, Wang Y, Shi Y, Zeng W, Zhao Y, et al. Multi-scenario surveillance of respiratory viruses in aerosols with sub-single-copy spatial resolution. </w:t>
      </w:r>
      <w:r>
        <w:rPr>
          <w:rStyle w:val="9"/>
          <w:rFonts w:hint="default" w:ascii="Times New Roman" w:hAnsi="Times New Roman" w:eastAsia="Geist Fallback" w:cs="Times New Roman"/>
          <w:i w:val="0"/>
          <w:iCs w:val="0"/>
          <w:caps w:val="0"/>
          <w:spacing w:val="0"/>
          <w:sz w:val="24"/>
          <w:szCs w:val="24"/>
        </w:rPr>
        <w:t>Nat Commun</w:t>
      </w:r>
      <w:r>
        <w:rPr>
          <w:rFonts w:hint="default" w:ascii="Times New Roman" w:hAnsi="Times New Roman" w:eastAsia="Geist Fallback" w:cs="Times New Roman"/>
          <w:i w:val="0"/>
          <w:iCs w:val="0"/>
          <w:caps w:val="0"/>
          <w:spacing w:val="0"/>
          <w:sz w:val="24"/>
          <w:szCs w:val="24"/>
        </w:rPr>
        <w:t>. 2024;15:8770. doi:10.1038/s41467-024-53059-x.</w:t>
      </w:r>
    </w:p>
    <w:p w14:paraId="2533B207">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p>
    <w:p w14:paraId="459D939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default" w:ascii="Times New Roman" w:hAnsi="Times New Roman" w:cs="Times New Roman"/>
        </w:rPr>
      </w:pPr>
    </w:p>
    <w:p w14:paraId="1108C9E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rPr>
        <w:t xml:space="preserve">Shaw WM, Yamauchi H, Mead J, Gowers GF, Bell DJ, Öling D, et al. Engineering a model cell for rational tuning of GPCR signaling. </w:t>
      </w:r>
      <w:r>
        <w:rPr>
          <w:rStyle w:val="9"/>
          <w:rFonts w:hint="default" w:ascii="Times New Roman" w:hAnsi="Times New Roman" w:eastAsia="Geist Fallback" w:cs="Times New Roman"/>
          <w:i w:val="0"/>
          <w:iCs w:val="0"/>
          <w:caps w:val="0"/>
          <w:spacing w:val="0"/>
          <w:sz w:val="24"/>
          <w:szCs w:val="24"/>
        </w:rPr>
        <w:t>Cell</w:t>
      </w:r>
      <w:r>
        <w:rPr>
          <w:rFonts w:hint="default" w:ascii="Times New Roman" w:hAnsi="Times New Roman" w:eastAsia="Geist Fallback" w:cs="Times New Roman"/>
          <w:i w:val="0"/>
          <w:iCs w:val="0"/>
          <w:caps w:val="0"/>
          <w:spacing w:val="0"/>
          <w:sz w:val="24"/>
          <w:szCs w:val="24"/>
        </w:rPr>
        <w:t>. 2019;177(3):782–796.e27. doi:10.1016/j.cell.2019.02.023.</w:t>
      </w:r>
    </w:p>
    <w:p w14:paraId="39A529AE">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p>
    <w:p w14:paraId="181DB9B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default" w:ascii="Times New Roman" w:hAnsi="Times New Roman" w:cs="Times New Roman"/>
        </w:rPr>
      </w:pPr>
    </w:p>
    <w:p w14:paraId="313E16F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rPr>
        <w:t xml:space="preserve">Gaiotto T, Hufton SE. Cross-neutralising nanobodies bind to a conserved pocket in the hemagglutinin stem region identified using yeast display and deep mutational scanning. </w:t>
      </w:r>
      <w:r>
        <w:rPr>
          <w:rStyle w:val="9"/>
          <w:rFonts w:hint="default" w:ascii="Times New Roman" w:hAnsi="Times New Roman" w:eastAsia="Geist Fallback" w:cs="Times New Roman"/>
          <w:i w:val="0"/>
          <w:iCs w:val="0"/>
          <w:caps w:val="0"/>
          <w:spacing w:val="0"/>
          <w:sz w:val="24"/>
          <w:szCs w:val="24"/>
        </w:rPr>
        <w:t>PLoS One</w:t>
      </w:r>
      <w:r>
        <w:rPr>
          <w:rFonts w:hint="default" w:ascii="Times New Roman" w:hAnsi="Times New Roman" w:eastAsia="Geist Fallback" w:cs="Times New Roman"/>
          <w:i w:val="0"/>
          <w:iCs w:val="0"/>
          <w:caps w:val="0"/>
          <w:spacing w:val="0"/>
          <w:sz w:val="24"/>
          <w:szCs w:val="24"/>
        </w:rPr>
        <w:t>. 2016;11(10):e0164296. doi:10.1371/journal.pone.0164296.</w:t>
      </w:r>
    </w:p>
    <w:p w14:paraId="7947DBB3">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p>
    <w:p w14:paraId="377A19F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default" w:ascii="Times New Roman" w:hAnsi="Times New Roman" w:cs="Times New Roman"/>
        </w:rPr>
      </w:pPr>
    </w:p>
    <w:p w14:paraId="2A45DEA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rPr>
        <w:t xml:space="preserve">Hufton SE, Risley P, Ball CR, Major D, Engelhardt OG, Poole S. The breadth of cross sub-type neutralisation activity of a single domain antibody to influenza hemagglutinin can be increased by antibody valency. </w:t>
      </w:r>
      <w:r>
        <w:rPr>
          <w:rStyle w:val="9"/>
          <w:rFonts w:hint="default" w:ascii="Times New Roman" w:hAnsi="Times New Roman" w:eastAsia="Geist Fallback" w:cs="Times New Roman"/>
          <w:i w:val="0"/>
          <w:iCs w:val="0"/>
          <w:caps w:val="0"/>
          <w:spacing w:val="0"/>
          <w:sz w:val="24"/>
          <w:szCs w:val="24"/>
        </w:rPr>
        <w:t>PLoS One</w:t>
      </w:r>
      <w:r>
        <w:rPr>
          <w:rFonts w:hint="default" w:ascii="Times New Roman" w:hAnsi="Times New Roman" w:eastAsia="Geist Fallback" w:cs="Times New Roman"/>
          <w:i w:val="0"/>
          <w:iCs w:val="0"/>
          <w:caps w:val="0"/>
          <w:spacing w:val="0"/>
          <w:sz w:val="24"/>
          <w:szCs w:val="24"/>
        </w:rPr>
        <w:t>. 2014;9(8):e103294. doi:10.1371/journal.pone.0103294.</w:t>
      </w:r>
    </w:p>
    <w:p w14:paraId="4FE4FC64">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p>
    <w:p w14:paraId="08AC735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default" w:ascii="Times New Roman" w:hAnsi="Times New Roman" w:cs="Times New Roman"/>
        </w:rPr>
      </w:pPr>
    </w:p>
    <w:p w14:paraId="190DFCD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rPr>
        <w:t xml:space="preserve">Kalogriopoulos NA, Tei R, Yan Y, Klein PM, Ravalin M, Cai B, et al. Synthetic GPCRs for programmable sensing and control of cell behaviour. </w:t>
      </w:r>
      <w:r>
        <w:rPr>
          <w:rStyle w:val="9"/>
          <w:rFonts w:hint="default" w:ascii="Times New Roman" w:hAnsi="Times New Roman" w:eastAsia="Geist Fallback" w:cs="Times New Roman"/>
          <w:i w:val="0"/>
          <w:iCs w:val="0"/>
          <w:caps w:val="0"/>
          <w:spacing w:val="0"/>
          <w:sz w:val="24"/>
          <w:szCs w:val="24"/>
        </w:rPr>
        <w:t>Nature</w:t>
      </w:r>
      <w:r>
        <w:rPr>
          <w:rFonts w:hint="default" w:ascii="Times New Roman" w:hAnsi="Times New Roman" w:eastAsia="Geist Fallback" w:cs="Times New Roman"/>
          <w:i w:val="0"/>
          <w:iCs w:val="0"/>
          <w:caps w:val="0"/>
          <w:spacing w:val="0"/>
          <w:sz w:val="24"/>
          <w:szCs w:val="24"/>
        </w:rPr>
        <w:t>. 2025;637(8044):230–239. doi:10.1038/s41586-024-08282-3.</w:t>
      </w:r>
    </w:p>
    <w:p w14:paraId="0F85BA5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default" w:ascii="Times New Roman" w:hAnsi="Times New Roman" w:cs="Times New Roman"/>
        </w:rPr>
      </w:pPr>
    </w:p>
    <w:p w14:paraId="660857EA">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p>
    <w:p w14:paraId="490CFFD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rPr>
        <w:t xml:space="preserve">Komatsuzaki K, Murayama Y, Giambarella U, Ogata E, Seino S, Nishimoto I. A novel system that reports the G-proteins linked to a given receptor: a study of type 3 somatostatin receptor. </w:t>
      </w:r>
      <w:r>
        <w:rPr>
          <w:rStyle w:val="9"/>
          <w:rFonts w:hint="default" w:ascii="Times New Roman" w:hAnsi="Times New Roman" w:eastAsia="Geist Fallback" w:cs="Times New Roman"/>
          <w:i w:val="0"/>
          <w:iCs w:val="0"/>
          <w:caps w:val="0"/>
          <w:spacing w:val="0"/>
          <w:sz w:val="24"/>
          <w:szCs w:val="24"/>
        </w:rPr>
        <w:t>FEBS Lett</w:t>
      </w:r>
      <w:r>
        <w:rPr>
          <w:rFonts w:hint="default" w:ascii="Times New Roman" w:hAnsi="Times New Roman" w:eastAsia="Geist Fallback" w:cs="Times New Roman"/>
          <w:i w:val="0"/>
          <w:iCs w:val="0"/>
          <w:caps w:val="0"/>
          <w:spacing w:val="0"/>
          <w:sz w:val="24"/>
          <w:szCs w:val="24"/>
        </w:rPr>
        <w:t>. 1997;406(1–2):165–170. doi:10.1016/S0014-5793(97)00257-3.</w:t>
      </w:r>
    </w:p>
    <w:p w14:paraId="51BF15D1">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p>
    <w:p w14:paraId="091F98C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default" w:ascii="Times New Roman" w:hAnsi="Times New Roman" w:cs="Times New Roman"/>
        </w:rPr>
      </w:pPr>
    </w:p>
    <w:p w14:paraId="32B3B54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rPr>
        <w:t xml:space="preserve">Brown AJ, Dyos SL, Whiteway MS, White JH, Watson MA, Marzioch M, et al. Functional coupling of mammalian receptors to the yeast mating pathway using novel yeast/mammalian G protein alpha-subunit chimeras. </w:t>
      </w:r>
      <w:r>
        <w:rPr>
          <w:rStyle w:val="9"/>
          <w:rFonts w:hint="default" w:ascii="Times New Roman" w:hAnsi="Times New Roman" w:eastAsia="Geist Fallback" w:cs="Times New Roman"/>
          <w:i w:val="0"/>
          <w:iCs w:val="0"/>
          <w:caps w:val="0"/>
          <w:spacing w:val="0"/>
          <w:sz w:val="24"/>
          <w:szCs w:val="24"/>
        </w:rPr>
        <w:t>Yeast</w:t>
      </w:r>
      <w:r>
        <w:rPr>
          <w:rFonts w:hint="default" w:ascii="Times New Roman" w:hAnsi="Times New Roman" w:eastAsia="Geist Fallback" w:cs="Times New Roman"/>
          <w:i w:val="0"/>
          <w:iCs w:val="0"/>
          <w:caps w:val="0"/>
          <w:spacing w:val="0"/>
          <w:sz w:val="24"/>
          <w:szCs w:val="24"/>
        </w:rPr>
        <w:t>. 2000;16(1):11–22. doi:10.1002/(SICI)1097-0061(20000115)16:1&lt;11::AID-YEA502&gt;3.0.CO;2-K.</w:t>
      </w:r>
    </w:p>
    <w:p w14:paraId="045026D1">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p>
    <w:p w14:paraId="27D2BEA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default" w:ascii="Times New Roman" w:hAnsi="Times New Roman" w:cs="Times New Roman"/>
        </w:rPr>
      </w:pPr>
    </w:p>
    <w:p w14:paraId="09E342F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rPr>
        <w:t xml:space="preserve">Pope PA, Bhaduri S, Pryciak PM. Regulation of cyclin-substrate docking by a G1 arrest signaling pathway and the Cdk inhibitor Far1. </w:t>
      </w:r>
      <w:r>
        <w:rPr>
          <w:rStyle w:val="9"/>
          <w:rFonts w:hint="default" w:ascii="Times New Roman" w:hAnsi="Times New Roman" w:eastAsia="Geist Fallback" w:cs="Times New Roman"/>
          <w:i w:val="0"/>
          <w:iCs w:val="0"/>
          <w:caps w:val="0"/>
          <w:spacing w:val="0"/>
          <w:sz w:val="24"/>
          <w:szCs w:val="24"/>
        </w:rPr>
        <w:t>Curr Biol</w:t>
      </w:r>
      <w:r>
        <w:rPr>
          <w:rFonts w:hint="default" w:ascii="Times New Roman" w:hAnsi="Times New Roman" w:eastAsia="Geist Fallback" w:cs="Times New Roman"/>
          <w:i w:val="0"/>
          <w:iCs w:val="0"/>
          <w:caps w:val="0"/>
          <w:spacing w:val="0"/>
          <w:sz w:val="24"/>
          <w:szCs w:val="24"/>
        </w:rPr>
        <w:t>. 2014;24(12):1390–1396. doi:10.1016/j.cub.2014.05.002.</w:t>
      </w:r>
    </w:p>
    <w:p w14:paraId="5D3A6104">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p>
    <w:p w14:paraId="6E2D8F6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default" w:ascii="Times New Roman" w:hAnsi="Times New Roman" w:cs="Times New Roman"/>
        </w:rPr>
      </w:pPr>
    </w:p>
    <w:p w14:paraId="5FAAAFE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rPr>
        <w:t xml:space="preserve">Chasse SA, Flanary P, Parnell SC, Hao N, Cha JY, Siderovski DP, et al. Genome-scale analysis reveals Sst2 as the principal regulator of mating pheromone signaling in the yeast </w:t>
      </w:r>
      <w:r>
        <w:rPr>
          <w:rStyle w:val="9"/>
          <w:rFonts w:hint="default" w:ascii="Times New Roman" w:hAnsi="Times New Roman" w:eastAsia="Geist Fallback" w:cs="Times New Roman"/>
          <w:i w:val="0"/>
          <w:iCs w:val="0"/>
          <w:caps w:val="0"/>
          <w:spacing w:val="0"/>
          <w:sz w:val="24"/>
          <w:szCs w:val="24"/>
        </w:rPr>
        <w:t>Saccharomyces cerevisiae</w:t>
      </w:r>
      <w:r>
        <w:rPr>
          <w:rFonts w:hint="default" w:ascii="Times New Roman" w:hAnsi="Times New Roman" w:eastAsia="Geist Fallback" w:cs="Times New Roman"/>
          <w:i w:val="0"/>
          <w:iCs w:val="0"/>
          <w:caps w:val="0"/>
          <w:spacing w:val="0"/>
          <w:sz w:val="24"/>
          <w:szCs w:val="24"/>
        </w:rPr>
        <w:t xml:space="preserve">. </w:t>
      </w:r>
      <w:r>
        <w:rPr>
          <w:rStyle w:val="9"/>
          <w:rFonts w:hint="default" w:ascii="Times New Roman" w:hAnsi="Times New Roman" w:eastAsia="Geist Fallback" w:cs="Times New Roman"/>
          <w:i w:val="0"/>
          <w:iCs w:val="0"/>
          <w:caps w:val="0"/>
          <w:spacing w:val="0"/>
          <w:sz w:val="24"/>
          <w:szCs w:val="24"/>
        </w:rPr>
        <w:t>Eukaryot Cell</w:t>
      </w:r>
      <w:r>
        <w:rPr>
          <w:rFonts w:hint="default" w:ascii="Times New Roman" w:hAnsi="Times New Roman" w:eastAsia="Geist Fallback" w:cs="Times New Roman"/>
          <w:i w:val="0"/>
          <w:iCs w:val="0"/>
          <w:caps w:val="0"/>
          <w:spacing w:val="0"/>
          <w:sz w:val="24"/>
          <w:szCs w:val="24"/>
        </w:rPr>
        <w:t>. 2006;5(2):330–346. doi:10.1128/EC.5.2.330-346.2006.</w:t>
      </w:r>
    </w:p>
    <w:p w14:paraId="379D4442">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p>
    <w:p w14:paraId="50EF26D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default" w:ascii="Times New Roman" w:hAnsi="Times New Roman" w:cs="Times New Roman"/>
        </w:rPr>
      </w:pPr>
    </w:p>
    <w:p w14:paraId="7426444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rPr>
        <w:t xml:space="preserve">Trueheart J, Boeke JD, Fink GR. Two genes required for cell fusion during yeast conjugation: evidence for a pheromone-induced surface protein. </w:t>
      </w:r>
      <w:r>
        <w:rPr>
          <w:rStyle w:val="9"/>
          <w:rFonts w:hint="default" w:ascii="Times New Roman" w:hAnsi="Times New Roman" w:eastAsia="Geist Fallback" w:cs="Times New Roman"/>
          <w:i w:val="0"/>
          <w:iCs w:val="0"/>
          <w:caps w:val="0"/>
          <w:spacing w:val="0"/>
          <w:sz w:val="24"/>
          <w:szCs w:val="24"/>
        </w:rPr>
        <w:t>Mol Cell Biol</w:t>
      </w:r>
      <w:r>
        <w:rPr>
          <w:rFonts w:hint="default" w:ascii="Times New Roman" w:hAnsi="Times New Roman" w:eastAsia="Geist Fallback" w:cs="Times New Roman"/>
          <w:i w:val="0"/>
          <w:iCs w:val="0"/>
          <w:caps w:val="0"/>
          <w:spacing w:val="0"/>
          <w:sz w:val="24"/>
          <w:szCs w:val="24"/>
        </w:rPr>
        <w:t>. 1987;7(7):2316–2328. doi:10.1128/mcb.7.7.2316-2328.1987.</w:t>
      </w:r>
    </w:p>
    <w:p w14:paraId="146AF632">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p>
    <w:p w14:paraId="2BAFACB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default" w:ascii="Times New Roman" w:hAnsi="Times New Roman" w:cs="Times New Roman"/>
        </w:rPr>
      </w:pPr>
    </w:p>
    <w:p w14:paraId="198CC2E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rPr>
        <w:t xml:space="preserve">Hagen DC, McCaffrey G, Sprague GF Jr. Pheromone response elements are necessary and sufficient for basal and pheromone-induced transcription of the FUS1 gene of </w:t>
      </w:r>
      <w:r>
        <w:rPr>
          <w:rStyle w:val="9"/>
          <w:rFonts w:hint="default" w:ascii="Times New Roman" w:hAnsi="Times New Roman" w:eastAsia="Geist Fallback" w:cs="Times New Roman"/>
          <w:i w:val="0"/>
          <w:iCs w:val="0"/>
          <w:caps w:val="0"/>
          <w:spacing w:val="0"/>
          <w:sz w:val="24"/>
          <w:szCs w:val="24"/>
        </w:rPr>
        <w:t>Saccharomyces cerevisiae</w:t>
      </w:r>
      <w:r>
        <w:rPr>
          <w:rFonts w:hint="default" w:ascii="Times New Roman" w:hAnsi="Times New Roman" w:eastAsia="Geist Fallback" w:cs="Times New Roman"/>
          <w:i w:val="0"/>
          <w:iCs w:val="0"/>
          <w:caps w:val="0"/>
          <w:spacing w:val="0"/>
          <w:sz w:val="24"/>
          <w:szCs w:val="24"/>
        </w:rPr>
        <w:t xml:space="preserve">. </w:t>
      </w:r>
      <w:r>
        <w:rPr>
          <w:rStyle w:val="9"/>
          <w:rFonts w:hint="default" w:ascii="Times New Roman" w:hAnsi="Times New Roman" w:eastAsia="Geist Fallback" w:cs="Times New Roman"/>
          <w:i w:val="0"/>
          <w:iCs w:val="0"/>
          <w:caps w:val="0"/>
          <w:spacing w:val="0"/>
          <w:sz w:val="24"/>
          <w:szCs w:val="24"/>
        </w:rPr>
        <w:t>Mol Cell Biol</w:t>
      </w:r>
      <w:r>
        <w:rPr>
          <w:rFonts w:hint="default" w:ascii="Times New Roman" w:hAnsi="Times New Roman" w:eastAsia="Geist Fallback" w:cs="Times New Roman"/>
          <w:i w:val="0"/>
          <w:iCs w:val="0"/>
          <w:caps w:val="0"/>
          <w:spacing w:val="0"/>
          <w:sz w:val="24"/>
          <w:szCs w:val="24"/>
        </w:rPr>
        <w:t>. 1991;11(6):2952–2961. doi:10.1128/mcb.11.6.2952-2961.1991.</w:t>
      </w:r>
    </w:p>
    <w:p w14:paraId="7E2391F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default" w:ascii="Times New Roman" w:hAnsi="Times New Roman" w:cs="Times New Roman"/>
        </w:rPr>
      </w:pPr>
    </w:p>
    <w:p w14:paraId="365B6937">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p>
    <w:p w14:paraId="79EB7F9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rPr>
        <w:t xml:space="preserve">Cormack BP, Bertram G, Egerton M, Gow NAR, Falkow S, Brown AJP. Yeast-enhanced green fluorescent protein (yEGFP): a reporter of gene expression in </w:t>
      </w:r>
      <w:r>
        <w:rPr>
          <w:rStyle w:val="9"/>
          <w:rFonts w:hint="default" w:ascii="Times New Roman" w:hAnsi="Times New Roman" w:eastAsia="Geist Fallback" w:cs="Times New Roman"/>
          <w:i w:val="0"/>
          <w:iCs w:val="0"/>
          <w:caps w:val="0"/>
          <w:spacing w:val="0"/>
          <w:sz w:val="24"/>
          <w:szCs w:val="24"/>
        </w:rPr>
        <w:t>Candida albicans</w:t>
      </w:r>
      <w:r>
        <w:rPr>
          <w:rFonts w:hint="default" w:ascii="Times New Roman" w:hAnsi="Times New Roman" w:eastAsia="Geist Fallback" w:cs="Times New Roman"/>
          <w:i w:val="0"/>
          <w:iCs w:val="0"/>
          <w:caps w:val="0"/>
          <w:spacing w:val="0"/>
          <w:sz w:val="24"/>
          <w:szCs w:val="24"/>
        </w:rPr>
        <w:t xml:space="preserve">. </w:t>
      </w:r>
      <w:r>
        <w:rPr>
          <w:rStyle w:val="9"/>
          <w:rFonts w:hint="default" w:ascii="Times New Roman" w:hAnsi="Times New Roman" w:eastAsia="Geist Fallback" w:cs="Times New Roman"/>
          <w:i w:val="0"/>
          <w:iCs w:val="0"/>
          <w:caps w:val="0"/>
          <w:spacing w:val="0"/>
          <w:sz w:val="24"/>
          <w:szCs w:val="24"/>
        </w:rPr>
        <w:t>Microbiology</w:t>
      </w:r>
      <w:r>
        <w:rPr>
          <w:rFonts w:hint="default" w:ascii="Times New Roman" w:hAnsi="Times New Roman" w:eastAsia="Geist Fallback" w:cs="Times New Roman"/>
          <w:i w:val="0"/>
          <w:iCs w:val="0"/>
          <w:caps w:val="0"/>
          <w:spacing w:val="0"/>
          <w:sz w:val="24"/>
          <w:szCs w:val="24"/>
        </w:rPr>
        <w:t>. 1997;143(Pt 2):303–311. doi:10.1099/00221287-143-2-303.</w:t>
      </w:r>
    </w:p>
    <w:p w14:paraId="5DEF6F6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default" w:ascii="Times New Roman" w:hAnsi="Times New Roman" w:cs="Times New Roman"/>
        </w:rPr>
      </w:pPr>
    </w:p>
    <w:p w14:paraId="1610BA3B">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rPr>
      </w:pPr>
    </w:p>
    <w:p w14:paraId="0365386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rPr>
        <w:t xml:space="preserve">Liljeström PL. The nucleotide sequence of the yeast </w:t>
      </w:r>
      <w:r>
        <w:rPr>
          <w:rStyle w:val="9"/>
          <w:rFonts w:hint="default" w:ascii="Times New Roman" w:hAnsi="Times New Roman" w:eastAsia="Geist Fallback" w:cs="Times New Roman"/>
          <w:i w:val="0"/>
          <w:iCs w:val="0"/>
          <w:caps w:val="0"/>
          <w:spacing w:val="0"/>
          <w:sz w:val="24"/>
          <w:szCs w:val="24"/>
        </w:rPr>
        <w:t>MEL1</w:t>
      </w:r>
      <w:r>
        <w:rPr>
          <w:rFonts w:hint="default" w:ascii="Times New Roman" w:hAnsi="Times New Roman" w:eastAsia="Geist Fallback" w:cs="Times New Roman"/>
          <w:i w:val="0"/>
          <w:iCs w:val="0"/>
          <w:caps w:val="0"/>
          <w:spacing w:val="0"/>
          <w:sz w:val="24"/>
          <w:szCs w:val="24"/>
        </w:rPr>
        <w:t xml:space="preserve"> gene. </w:t>
      </w:r>
      <w:r>
        <w:rPr>
          <w:rStyle w:val="9"/>
          <w:rFonts w:hint="default" w:ascii="Times New Roman" w:hAnsi="Times New Roman" w:eastAsia="Geist Fallback" w:cs="Times New Roman"/>
          <w:i w:val="0"/>
          <w:iCs w:val="0"/>
          <w:caps w:val="0"/>
          <w:spacing w:val="0"/>
          <w:sz w:val="24"/>
          <w:szCs w:val="24"/>
        </w:rPr>
        <w:t>Nucleic Acids Res</w:t>
      </w:r>
      <w:r>
        <w:rPr>
          <w:rFonts w:hint="default" w:ascii="Times New Roman" w:hAnsi="Times New Roman" w:eastAsia="Geist Fallback" w:cs="Times New Roman"/>
          <w:i w:val="0"/>
          <w:iCs w:val="0"/>
          <w:caps w:val="0"/>
          <w:spacing w:val="0"/>
          <w:sz w:val="24"/>
          <w:szCs w:val="24"/>
        </w:rPr>
        <w:t>. 1985;13(20):7257–7268. doi:10.1093/nar/13.20.7257.</w:t>
      </w:r>
    </w:p>
    <w:p w14:paraId="20FA059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default" w:ascii="Times New Roman" w:hAnsi="Times New Roman" w:cs="Times New Roman"/>
        </w:rPr>
      </w:pPr>
    </w:p>
    <w:p w14:paraId="6A31B5D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ist Fallback">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Geist Mono Fallback">
    <w:altName w:val="AMGDT"/>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D9452C"/>
    <w:multiLevelType w:val="multilevel"/>
    <w:tmpl w:val="85D945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26292E3"/>
    <w:multiLevelType w:val="multilevel"/>
    <w:tmpl w:val="A26292E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F93A15B"/>
    <w:multiLevelType w:val="multilevel"/>
    <w:tmpl w:val="CF93A15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F519B2D1"/>
    <w:multiLevelType w:val="multilevel"/>
    <w:tmpl w:val="F519B2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A498FC1"/>
    <w:multiLevelType w:val="multilevel"/>
    <w:tmpl w:val="FA498F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188FD28D"/>
    <w:multiLevelType w:val="multilevel"/>
    <w:tmpl w:val="188FD28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3EFD8DA3"/>
    <w:multiLevelType w:val="multilevel"/>
    <w:tmpl w:val="3EFD8D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6F488A69"/>
    <w:multiLevelType w:val="multilevel"/>
    <w:tmpl w:val="6F488A6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5"/>
  </w:num>
  <w:num w:numId="2">
    <w:abstractNumId w:val="7"/>
  </w:num>
  <w:num w:numId="3">
    <w:abstractNumId w:val="6"/>
  </w:num>
  <w:num w:numId="4">
    <w:abstractNumId w:val="2"/>
  </w:num>
  <w:num w:numId="5">
    <w:abstractNumId w:val="3"/>
  </w:num>
  <w:num w:numId="6">
    <w:abstractNumId w:val="1"/>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815314"/>
    <w:rsid w:val="19A35324"/>
    <w:rsid w:val="1D6C2CEA"/>
    <w:rsid w:val="528153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Emphasis"/>
    <w:basedOn w:val="8"/>
    <w:qFormat/>
    <w:uiPriority w:val="0"/>
    <w:rPr>
      <w:i/>
    </w:rPr>
  </w:style>
  <w:style w:type="character" w:styleId="10">
    <w:name w:val="Hyperlink"/>
    <w:basedOn w:val="8"/>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4388</Words>
  <Characters>28772</Characters>
  <Lines>0</Lines>
  <Paragraphs>0</Paragraphs>
  <TotalTime>27</TotalTime>
  <ScaleCrop>false</ScaleCrop>
  <LinksUpToDate>false</LinksUpToDate>
  <CharactersWithSpaces>32826</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2026-10-20T12:58:00Z</dcterms:created>
  <dc:creator>夏杰</dc:creator>
  <cp:lastModifiedBy>夏杰</cp:lastModifiedBy>
  <dcterms:modified xsi:type="dcterms:W3CDTF">2026-10-20T21:44:27Z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C1729D903FBB425A92903641F6753329_13</vt:lpwstr>
  </property>
  <property fmtid="{D5CDD505-2E9C-101B-9397-08002B2CF9AE}" pid="4" name="KSOTemplateDocerSaveRecord">
    <vt:lpwstr>eyJoZGlkIjoiMWIxNGYwZGE3NGE4ZGExYTI5MTg4NzkzNTVjNmFkYjUiLCJ1c2VySWQiOiIxODgwNzIyNTk2In0=</vt:lpwstr>
  </property>
</Properties>
</file>