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535"/>
        <w:gridCol w:w="4535"/>
      </w:tblGrid>
      <w:tr>
        <w:tc>
          <w:tcPr>
            <w:tcW w:type="dxa" w:w="4702"/>
          </w:tcPr>
          <w:p>
            <w:pPr>
              <w:jc w:val="center"/>
            </w:pPr>
            <w:r>
              <w:rPr>
                <w:b/>
                <w:sz w:val="24"/>
              </w:rPr>
              <w:t>KHU QUẢN LÝ ĐƯỜNG BỘ I</w:t>
              <w:br/>
              <w:t>PHÒNG QUẢN LÝ, BẢO TRÌ</w:t>
            </w:r>
          </w:p>
        </w:tc>
        <w:tc>
          <w:tcPr>
            <w:tcW w:type="dxa" w:w="4702"/>
          </w:tcPr>
          <w:p>
            <w:pPr>
              <w:jc w:val="center"/>
            </w:pPr>
            <w:r>
              <w:rPr>
                <w:b/>
                <w:sz w:val="24"/>
              </w:rPr>
              <w:t>CỘNG HÒA XÃ HỘI CHỦ NGHĨA VIỆT NAM</w:t>
              <w:br/>
              <w:t>Độc lập - Tự do - Hạnh phúc</w:t>
            </w:r>
          </w:p>
        </w:tc>
      </w:tr>
    </w:tbl>
    <w:p>
      <w:pPr>
        <w:spacing w:line="276" w:lineRule="auto"/>
      </w:pPr>
      <w:r>
        <w:rPr>
          <w:b w:val="0"/>
        </w:rPr>
        <w:t>Số:        /QT-KQLĐBI-QLBT</w:t>
      </w:r>
    </w:p>
    <w:p>
      <w:pPr>
        <w:spacing w:line="276" w:lineRule="auto"/>
        <w:jc w:val="right"/>
      </w:pPr>
      <w:r>
        <w:rPr>
          <w:b w:val="0"/>
        </w:rPr>
        <w:t>Hà Nội, ngày      tháng      năm 2026</w:t>
      </w:r>
    </w:p>
    <w:p>
      <w:pPr>
        <w:jc w:val="center"/>
      </w:pPr>
      <w:r>
        <w:rPr>
          <w:b/>
          <w:sz w:val="32"/>
        </w:rPr>
        <w:t>CHỨC NĂNG, NHIỆM VỤ</w:t>
      </w:r>
    </w:p>
    <w:p>
      <w:pPr>
        <w:jc w:val="center"/>
      </w:pPr>
      <w:r>
        <w:rPr>
          <w:b/>
          <w:sz w:val="30"/>
        </w:rPr>
        <w:t>CÔNG TÁC TUẦN ĐƯỜNG TRÊN ĐƯỜNG CAO TỐC</w:t>
      </w:r>
    </w:p>
    <w:p>
      <w:pPr>
        <w:spacing w:line="276" w:lineRule="auto"/>
      </w:pPr>
      <w:r>
        <w:rPr>
          <w:b w:val="0"/>
        </w:rPr>
        <w:t>Căn cứ Thông tư số 41/2024/TT-BGTVT; TCCS 16:2016/TCĐBVN; các quy định hiện hành và yêu cầu quản lý, vận hành, khai thác đường cao tốc.</w:t>
      </w:r>
    </w:p>
    <w:p>
      <w:pPr>
        <w:pStyle w:val="Heading1"/>
        <w:spacing w:before="120" w:after="60"/>
      </w:pPr>
      <w:r>
        <w:t>I. CHỨC NĂNG CỦA TUẦN ĐƯỜNG CAO TỐC</w:t>
      </w:r>
    </w:p>
    <w:p>
      <w:pPr>
        <w:spacing w:line="276" w:lineRule="auto"/>
        <w:ind w:firstLine="567"/>
      </w:pPr>
      <w:r>
        <w:rPr>
          <w:b w:val="0"/>
        </w:rPr>
        <w:t>Tuần đường cao tốc là hoạt động kiểm tra, giám sát thường xuyên trên tuyến đường cao tốc nhằm kịp thời phát hiện, ghi nhận, thông báo và phối hợp xử lý các tình trạng bất thường của giao thông, kết cấu hạ tầng, công trình, thiết bị, hành lang an toàn đường bộ và các sự cố phát sinh trên tuyến; thực hiện các biện pháp bảo đảm an toàn giao thông ban đầu trong phạm vi nhiệm vụ được giao; duy trì thông tin liên lạc với Trung tâm quản lý điều hành giao thông và các lực lượng liên quan, góp phần bảo đảm giao thông an toàn, thông suốt và bảo vệ kết cấu hạ tầng đường cao tốc.</w:t>
      </w:r>
    </w:p>
    <w:p>
      <w:pPr>
        <w:pStyle w:val="Heading1"/>
        <w:spacing w:before="120" w:after="60"/>
      </w:pPr>
      <w:r>
        <w:t>II. NHIỆM VỤ CỤ THỂ CỦA TUẦN ĐƯỜNG CAO TỐC</w:t>
      </w:r>
    </w:p>
    <w:p>
      <w:pPr>
        <w:pStyle w:val="Heading2"/>
        <w:spacing w:before="120" w:after="60"/>
      </w:pPr>
      <w:r>
        <w:t>1. Tuần tra, kiểm soát tình trạng giao thông trên tuyến</w:t>
      </w:r>
    </w:p>
    <w:p>
      <w:pPr>
        <w:spacing w:line="276" w:lineRule="auto"/>
        <w:ind w:firstLine="567"/>
      </w:pPr>
      <w:r>
        <w:rPr>
          <w:b w:val="0"/>
        </w:rPr>
        <w:t>Thực hiện tuần đường theo kế hoạch và tần suất được quy định.</w:t>
      </w:r>
    </w:p>
    <w:p>
      <w:pPr>
        <w:spacing w:line="276" w:lineRule="auto"/>
        <w:ind w:firstLine="567"/>
      </w:pPr>
      <w:r>
        <w:rPr>
          <w:b w:val="0"/>
        </w:rPr>
        <w:t>Theo dõi tình hình giao thông trên toàn bộ đoạn tuyến được giao.</w:t>
      </w:r>
    </w:p>
    <w:p>
      <w:pPr>
        <w:spacing w:line="276" w:lineRule="auto"/>
        <w:ind w:firstLine="567"/>
      </w:pPr>
      <w:r>
        <w:rPr>
          <w:b w:val="0"/>
        </w:rPr>
        <w:t>Phát hiện ùn tắc, phương tiện dừng đỗ bất thường, phương tiện đi ngược chiều, phương tiện hư hỏng trên đường.</w:t>
      </w:r>
    </w:p>
    <w:p>
      <w:pPr>
        <w:spacing w:line="276" w:lineRule="auto"/>
        <w:ind w:firstLine="567"/>
      </w:pPr>
      <w:r>
        <w:rPr>
          <w:b w:val="0"/>
        </w:rPr>
        <w:t>Phát hiện các hành vi hoặc tình trạng ảnh hưởng đến an toàn giao thông.</w:t>
      </w:r>
    </w:p>
    <w:p>
      <w:pPr>
        <w:spacing w:line="276" w:lineRule="auto"/>
        <w:ind w:firstLine="567"/>
      </w:pPr>
      <w:r>
        <w:rPr>
          <w:b w:val="0"/>
        </w:rPr>
        <w:t>Ghi nhận thời gian, vị trí, chiều đường và diễn biến bất thường.</w:t>
      </w:r>
    </w:p>
    <w:p>
      <w:pPr>
        <w:spacing w:line="276" w:lineRule="auto"/>
        <w:ind w:firstLine="567"/>
      </w:pPr>
      <w:r>
        <w:rPr>
          <w:b w:val="0"/>
        </w:rPr>
        <w:t>Báo cáo kịp thời về Trung tâm quản lý điều hành giao thông.</w:t>
      </w:r>
    </w:p>
    <w:p>
      <w:pPr>
        <w:pStyle w:val="Heading2"/>
        <w:spacing w:before="120" w:after="60"/>
      </w:pPr>
      <w:r>
        <w:t>2. Kiểm tra, phát hiện tình trạng công trình và thiết bị trên tuyến</w:t>
      </w:r>
    </w:p>
    <w:p>
      <w:pPr>
        <w:spacing w:line="276" w:lineRule="auto"/>
        <w:ind w:firstLine="567"/>
      </w:pPr>
      <w:r>
        <w:rPr>
          <w:b w:val="0"/>
        </w:rPr>
        <w:t>Trong quá trình tuần đường phải quan sát, phát hiện tình trạng bất thường của mặt đường, lề đường, dải phân cách, hệ thống thoát nước, hộ lan, biển báo, báo hiệu đường bộ, cọc tiêu, đèn tín hiệu, thiết bị điều khiển giao thông, cầu, cống, hầm và các công trình, thiết bị phục vụ khai thác đường cao tốc.</w:t>
      </w:r>
    </w:p>
    <w:p>
      <w:pPr>
        <w:spacing w:line="276" w:lineRule="auto"/>
        <w:ind w:firstLine="567"/>
      </w:pPr>
      <w:r>
        <w:rPr>
          <w:b w:val="0"/>
        </w:rPr>
        <w:t>Nhiệm vụ tuần đường là phát hiện, ghi nhận, báo cáo và phối hợp xử lý; không đồng nghĩa với việc thực hiện toàn bộ công tác kiểm định hoặc bảo dưỡng chuyên sâu.</w:t>
      </w:r>
    </w:p>
    <w:p>
      <w:pPr>
        <w:pStyle w:val="Heading2"/>
        <w:spacing w:before="120" w:after="60"/>
      </w:pPr>
      <w:r>
        <w:t>3. Kiểm tra, phát hiện chướng ngại vật trên đường</w:t>
      </w:r>
    </w:p>
    <w:p>
      <w:pPr>
        <w:spacing w:line="276" w:lineRule="auto"/>
        <w:ind w:firstLine="567"/>
      </w:pPr>
      <w:r>
        <w:rPr>
          <w:b w:val="0"/>
        </w:rPr>
        <w:t>Phát hiện vật rơi trên mặt đường, hàng hóa rơi vãi, đất đá, cây đổ, lốp xe, phụ tùng hoặc vật thể khác.</w:t>
      </w:r>
    </w:p>
    <w:p>
      <w:pPr>
        <w:spacing w:line="276" w:lineRule="auto"/>
        <w:ind w:firstLine="567"/>
      </w:pPr>
      <w:r>
        <w:rPr>
          <w:b w:val="0"/>
        </w:rPr>
        <w:t>Phát hiện phương tiện hư hỏng nằm trên làn xe và các vật cản tại khu vực nút giao, nhánh ra vào.</w:t>
      </w:r>
    </w:p>
    <w:p>
      <w:pPr>
        <w:spacing w:line="276" w:lineRule="auto"/>
        <w:ind w:firstLine="567"/>
      </w:pPr>
      <w:r>
        <w:rPr>
          <w:b w:val="0"/>
        </w:rPr>
        <w:t>Đánh giá nguy cơ gây mất an toàn giao thông, báo cáo và tổ chức xử lý hoặc phối hợp huy động lực lượng xử lý.</w:t>
      </w:r>
    </w:p>
    <w:p>
      <w:pPr>
        <w:pStyle w:val="Heading1"/>
        <w:spacing w:before="120" w:after="60"/>
      </w:pPr>
      <w:r>
        <w:t>III. NHIỆM VỤ XỬ LÝ SỰ CỐ</w:t>
      </w:r>
    </w:p>
    <w:p>
      <w:pPr>
        <w:pStyle w:val="Heading2"/>
        <w:spacing w:before="120" w:after="60"/>
      </w:pPr>
      <w:r>
        <w:t>4. Xử lý tai nạn giao thông</w:t>
      </w:r>
    </w:p>
    <w:p>
      <w:pPr>
        <w:spacing w:line="276" w:lineRule="auto"/>
        <w:ind w:firstLine="567"/>
      </w:pPr>
      <w:r>
        <w:rPr>
          <w:b w:val="0"/>
        </w:rPr>
        <w:t>Báo cáo ngay Trung tâm quản lý điều hành giao thông khi phát hiện tai nạn.</w:t>
      </w:r>
    </w:p>
    <w:p>
      <w:pPr>
        <w:spacing w:line="276" w:lineRule="auto"/>
        <w:ind w:firstLine="567"/>
      </w:pPr>
      <w:r>
        <w:rPr>
          <w:b w:val="0"/>
        </w:rPr>
        <w:t>Tiếp cận hiện trường trong điều kiện an toàn; thực hiện cảnh báo và các biện pháp bảo đảm an toàn.</w:t>
      </w:r>
    </w:p>
    <w:p>
      <w:pPr>
        <w:spacing w:line="276" w:lineRule="auto"/>
        <w:ind w:firstLine="567"/>
      </w:pPr>
      <w:r>
        <w:rPr>
          <w:b w:val="0"/>
        </w:rPr>
        <w:t>Phối hợp phân luồng, hướng dẫn giao thông; hỗ trợ sơ cứu, cứu nạn ban đầu trong khả năng.</w:t>
      </w:r>
    </w:p>
    <w:p>
      <w:pPr>
        <w:spacing w:line="276" w:lineRule="auto"/>
        <w:ind w:firstLine="567"/>
      </w:pPr>
      <w:r>
        <w:rPr>
          <w:b w:val="0"/>
        </w:rPr>
        <w:t>Bảo vệ hiện trường; phối hợp Công an và các lực lượng chức năng.</w:t>
      </w:r>
    </w:p>
    <w:p>
      <w:pPr>
        <w:spacing w:line="276" w:lineRule="auto"/>
        <w:ind w:firstLine="567"/>
      </w:pPr>
      <w:r>
        <w:rPr>
          <w:b w:val="0"/>
        </w:rPr>
        <w:t>Ghi nhận tình trạng phương tiện, người bị nạn, công trình bị ảnh hưởng và tình trạng giao thông.</w:t>
      </w:r>
    </w:p>
    <w:p>
      <w:pPr>
        <w:spacing w:line="276" w:lineRule="auto"/>
        <w:ind w:firstLine="567"/>
      </w:pPr>
      <w:r>
        <w:rPr>
          <w:b w:val="0"/>
        </w:rPr>
        <w:t>Theo dõi đến khi hiện trường được giải tỏa và báo cáo kết quả xử lý.</w:t>
      </w:r>
    </w:p>
    <w:p>
      <w:pPr>
        <w:pStyle w:val="Heading2"/>
        <w:spacing w:before="120" w:after="60"/>
      </w:pPr>
      <w:r>
        <w:t>5. Xử lý xe hỏng, xe dừng trên đường</w:t>
      </w:r>
    </w:p>
    <w:p>
      <w:pPr>
        <w:spacing w:line="276" w:lineRule="auto"/>
        <w:ind w:firstLine="567"/>
      </w:pPr>
      <w:r>
        <w:rPr>
          <w:b w:val="0"/>
        </w:rPr>
        <w:t>Thông báo ngay về Trung tâm; tiếp cận theo phương án bảo đảm an toàn.</w:t>
      </w:r>
    </w:p>
    <w:p>
      <w:pPr>
        <w:spacing w:line="276" w:lineRule="auto"/>
        <w:ind w:firstLine="567"/>
      </w:pPr>
      <w:r>
        <w:rPr>
          <w:b w:val="0"/>
        </w:rPr>
        <w:t>Cảnh báo cho các phương tiện phía sau; hỗ trợ người và phương tiện nếu điều kiện cho phép.</w:t>
      </w:r>
    </w:p>
    <w:p>
      <w:pPr>
        <w:spacing w:line="276" w:lineRule="auto"/>
        <w:ind w:firstLine="567"/>
      </w:pPr>
      <w:r>
        <w:rPr>
          <w:b w:val="0"/>
        </w:rPr>
        <w:t>Phối hợp cứu hộ, cứu nạn; theo dõi tình trạng giao thông.</w:t>
      </w:r>
    </w:p>
    <w:p>
      <w:pPr>
        <w:spacing w:line="276" w:lineRule="auto"/>
        <w:ind w:firstLine="567"/>
      </w:pPr>
      <w:r>
        <w:rPr>
          <w:b w:val="0"/>
        </w:rPr>
        <w:t>Báo cáo khi xe đã được đưa ra khỏi phạm vi nguy hiểm.</w:t>
      </w:r>
    </w:p>
    <w:p>
      <w:pPr>
        <w:pStyle w:val="Heading2"/>
        <w:spacing w:before="120" w:after="60"/>
      </w:pPr>
      <w:r>
        <w:t>6. Xử lý chướng ngại vật</w:t>
      </w:r>
    </w:p>
    <w:p>
      <w:pPr>
        <w:spacing w:line="276" w:lineRule="auto"/>
        <w:ind w:firstLine="567"/>
      </w:pPr>
      <w:r>
        <w:rPr>
          <w:b w:val="0"/>
        </w:rPr>
        <w:t>Cảnh báo và bảo đảm an toàn; thông báo về Trung tâm.</w:t>
      </w:r>
    </w:p>
    <w:p>
      <w:pPr>
        <w:spacing w:line="276" w:lineRule="auto"/>
        <w:ind w:firstLine="567"/>
      </w:pPr>
      <w:r>
        <w:rPr>
          <w:b w:val="0"/>
        </w:rPr>
        <w:t>Đánh giá khả năng tự xử lý hoặc cần huy động lực lượng.</w:t>
      </w:r>
    </w:p>
    <w:p>
      <w:pPr>
        <w:spacing w:line="276" w:lineRule="auto"/>
        <w:ind w:firstLine="567"/>
      </w:pPr>
      <w:r>
        <w:rPr>
          <w:b w:val="0"/>
        </w:rPr>
        <w:t>Nếu đủ điều kiện thì tổ chức thu dọn, di chuyển; nếu không đủ điều kiện thì bảo vệ hiện trường, cảnh báo và chờ lực lượng hỗ trợ.</w:t>
      </w:r>
    </w:p>
    <w:p>
      <w:pPr>
        <w:spacing w:line="276" w:lineRule="auto"/>
        <w:ind w:firstLine="567"/>
      </w:pPr>
      <w:r>
        <w:rPr>
          <w:b w:val="0"/>
        </w:rPr>
        <w:t>Theo dõi cho đến khi chướng ngại vật được xử lý và báo cáo kết quả.</w:t>
      </w:r>
    </w:p>
    <w:p>
      <w:pPr>
        <w:pStyle w:val="Heading2"/>
        <w:spacing w:before="120" w:after="60"/>
      </w:pPr>
      <w:r>
        <w:t>7. Xử lý cháy trên đường cao tốc</w:t>
      </w:r>
    </w:p>
    <w:p>
      <w:pPr>
        <w:spacing w:line="276" w:lineRule="auto"/>
        <w:ind w:firstLine="567"/>
      </w:pPr>
      <w:r>
        <w:rPr>
          <w:b w:val="0"/>
        </w:rPr>
        <w:t>Báo cáo ngay Trung tâm; tiếp cận hiện trường nếu bảo đảm an toàn.</w:t>
      </w:r>
    </w:p>
    <w:p>
      <w:pPr>
        <w:spacing w:line="276" w:lineRule="auto"/>
        <w:ind w:firstLine="567"/>
      </w:pPr>
      <w:r>
        <w:rPr>
          <w:b w:val="0"/>
        </w:rPr>
        <w:t>Cảnh báo, phân luồng giao thông; phối hợp lực lượng phòng cháy, chữa cháy.</w:t>
      </w:r>
    </w:p>
    <w:p>
      <w:pPr>
        <w:spacing w:line="276" w:lineRule="auto"/>
        <w:ind w:firstLine="567"/>
      </w:pPr>
      <w:r>
        <w:rPr>
          <w:b w:val="0"/>
        </w:rPr>
        <w:t>Hỗ trợ cứu người trong khả năng; bảo vệ hiện trường.</w:t>
      </w:r>
    </w:p>
    <w:p>
      <w:pPr>
        <w:spacing w:line="276" w:lineRule="auto"/>
        <w:ind w:firstLine="567"/>
      </w:pPr>
      <w:r>
        <w:rPr>
          <w:b w:val="0"/>
        </w:rPr>
        <w:t>Theo dõi ảnh hưởng của vụ cháy đối với công trình và giao thông; báo cáo kết quả xử lý.</w:t>
      </w:r>
    </w:p>
    <w:p>
      <w:pPr>
        <w:pStyle w:val="Heading1"/>
        <w:spacing w:before="120" w:after="60"/>
      </w:pPr>
      <w:r>
        <w:t>IV. NHIỆM VỤ ĐỐI VỚI CÁC SỰ CỐ KHÁC</w:t>
      </w:r>
    </w:p>
    <w:p>
      <w:pPr>
        <w:pStyle w:val="Heading2"/>
        <w:spacing w:before="120" w:after="60"/>
      </w:pPr>
      <w:r>
        <w:t>8. Xử lý tai nạn, sự cố đặc biệt và thời tiết bất thường</w:t>
      </w:r>
    </w:p>
    <w:p>
      <w:pPr>
        <w:spacing w:line="276" w:lineRule="auto"/>
        <w:ind w:firstLine="567"/>
      </w:pPr>
      <w:r>
        <w:rPr>
          <w:b w:val="0"/>
        </w:rPr>
        <w:t>Theo dõi và báo cáo khi xảy ra mưa lớn, bão, ngập nước, sạt lở, đất đá rơi, gió lớn và các hiện tượng thời tiết bất thường.</w:t>
      </w:r>
    </w:p>
    <w:p>
      <w:pPr>
        <w:spacing w:line="276" w:lineRule="auto"/>
        <w:ind w:firstLine="567"/>
      </w:pPr>
      <w:r>
        <w:rPr>
          <w:b w:val="0"/>
        </w:rPr>
        <w:t>Phát hiện sự cố công trình, sự cố thiết bị ảnh hưởng đến giao thông.</w:t>
      </w:r>
    </w:p>
    <w:p>
      <w:pPr>
        <w:spacing w:line="276" w:lineRule="auto"/>
        <w:ind w:firstLine="567"/>
      </w:pPr>
      <w:r>
        <w:rPr>
          <w:b w:val="0"/>
        </w:rPr>
        <w:t>Thực hiện cảnh báo, bảo đảm giao thông ban đầu và phối hợp xử lý theo chỉ đạo của Trung tâm quản lý điều hành giao thông.</w:t>
      </w:r>
    </w:p>
    <w:p>
      <w:pPr>
        <w:pStyle w:val="Heading1"/>
        <w:spacing w:before="120" w:after="60"/>
      </w:pPr>
      <w:r>
        <w:t>V. THÔNG TIN, ĐIỀU HÀNH VÀ BÁO CÁO</w:t>
      </w:r>
    </w:p>
    <w:p>
      <w:pPr>
        <w:pStyle w:val="Heading2"/>
        <w:spacing w:before="120" w:after="60"/>
      </w:pPr>
      <w:r>
        <w:t>9. Duy trì thông tin liên lạc với Trung tâm quản lý điều hành giao thông</w:t>
      </w:r>
    </w:p>
    <w:p>
      <w:pPr>
        <w:spacing w:line="276" w:lineRule="auto"/>
        <w:ind w:firstLine="567"/>
      </w:pPr>
      <w:r>
        <w:rPr>
          <w:b w:val="0"/>
        </w:rPr>
        <w:t>Duy trì liên lạc trong suốt quá trình thực hiện nhiệm vụ.</w:t>
      </w:r>
    </w:p>
    <w:p>
      <w:pPr>
        <w:spacing w:line="276" w:lineRule="auto"/>
        <w:ind w:firstLine="567"/>
      </w:pPr>
      <w:r>
        <w:rPr>
          <w:b w:val="0"/>
        </w:rPr>
        <w:t>Tiếp nhận và thực hiện chỉ đạo của Trung tâm trong phạm vi nhiệm vụ.</w:t>
      </w:r>
    </w:p>
    <w:p>
      <w:pPr>
        <w:spacing w:line="276" w:lineRule="auto"/>
        <w:ind w:firstLine="567"/>
      </w:pPr>
      <w:r>
        <w:rPr>
          <w:b w:val="0"/>
        </w:rPr>
        <w:t>Báo cáo tình trạng tuyến, sự cố, tai nạn giao thông, chướng ngại vật, xe hỏng, cháy, thời tiết bất thường và các vấn đề khác.</w:t>
      </w:r>
    </w:p>
    <w:p>
      <w:pPr>
        <w:spacing w:line="276" w:lineRule="auto"/>
        <w:ind w:firstLine="567"/>
      </w:pPr>
      <w:r>
        <w:rPr>
          <w:b w:val="0"/>
        </w:rPr>
        <w:t>Tiếp nhận yêu cầu điều động lực lượng và báo cáo kết quả xử lý.</w:t>
      </w:r>
    </w:p>
    <w:p>
      <w:pPr>
        <w:spacing w:line="276" w:lineRule="auto"/>
        <w:ind w:firstLine="567"/>
      </w:pPr>
      <w:r>
        <w:rPr>
          <w:b w:val="0"/>
        </w:rPr>
        <w:t>Thực hiện bàn giao đầy đủ thông tin giữa các ca tuần đường và giữa tuần đường với Trung tâm.</w:t>
      </w:r>
    </w:p>
    <w:p>
      <w:pPr>
        <w:pStyle w:val="Heading2"/>
        <w:spacing w:before="120" w:after="60"/>
      </w:pPr>
      <w:r>
        <w:t>10. Ghi nhật ký và báo cáo kết quả tuần đường</w:t>
      </w:r>
    </w:p>
    <w:p>
      <w:pPr>
        <w:spacing w:line="276" w:lineRule="auto"/>
        <w:ind w:firstLine="567"/>
      </w:pPr>
      <w:r>
        <w:rPr>
          <w:b w:val="0"/>
        </w:rPr>
        <w:t>Nhật ký tuần đường phải phản ánh trung thực, đầy đủ kết quả thực hiện nhiệm vụ, tối thiểu gồm:</w:t>
      </w:r>
    </w:p>
    <w:p>
      <w:pPr>
        <w:pStyle w:val="ListBullet"/>
        <w:spacing w:line="276" w:lineRule="auto"/>
      </w:pPr>
      <w:r>
        <w:t>Thời gian thực hiện;</w:t>
      </w:r>
    </w:p>
    <w:p>
      <w:pPr>
        <w:pStyle w:val="ListBullet"/>
        <w:spacing w:line="276" w:lineRule="auto"/>
      </w:pPr>
      <w:r>
        <w:t>Nhân viên thực hiện;</w:t>
      </w:r>
    </w:p>
    <w:p>
      <w:pPr>
        <w:pStyle w:val="ListBullet"/>
        <w:spacing w:line="276" w:lineRule="auto"/>
      </w:pPr>
      <w:r>
        <w:t>Tên tuyến, chiều đường và đoạn tuyến;</w:t>
      </w:r>
    </w:p>
    <w:p>
      <w:pPr>
        <w:pStyle w:val="ListBullet"/>
        <w:spacing w:line="276" w:lineRule="auto"/>
      </w:pPr>
      <w:r>
        <w:t>Lý trình, vị trí phát hiện;</w:t>
      </w:r>
    </w:p>
    <w:p>
      <w:pPr>
        <w:pStyle w:val="ListBullet"/>
        <w:spacing w:line="276" w:lineRule="auto"/>
      </w:pPr>
      <w:r>
        <w:t>Tình trạng giao thông;</w:t>
      </w:r>
    </w:p>
    <w:p>
      <w:pPr>
        <w:pStyle w:val="ListBullet"/>
        <w:spacing w:line="276" w:lineRule="auto"/>
      </w:pPr>
      <w:r>
        <w:t>Hư hỏng công trình, thiết bị;</w:t>
      </w:r>
    </w:p>
    <w:p>
      <w:pPr>
        <w:pStyle w:val="ListBullet"/>
        <w:spacing w:line="276" w:lineRule="auto"/>
      </w:pPr>
      <w:r>
        <w:t>Tai nạn giao thông;</w:t>
      </w:r>
    </w:p>
    <w:p>
      <w:pPr>
        <w:pStyle w:val="ListBullet"/>
        <w:spacing w:line="276" w:lineRule="auto"/>
      </w:pPr>
      <w:r>
        <w:t>Xe hỏng, phương tiện dừng trên đường;</w:t>
      </w:r>
    </w:p>
    <w:p>
      <w:pPr>
        <w:pStyle w:val="ListBullet"/>
        <w:spacing w:line="276" w:lineRule="auto"/>
      </w:pPr>
      <w:r>
        <w:t>Chướng ngại vật;</w:t>
      </w:r>
    </w:p>
    <w:p>
      <w:pPr>
        <w:pStyle w:val="ListBullet"/>
        <w:spacing w:line="276" w:lineRule="auto"/>
      </w:pPr>
      <w:r>
        <w:t>Cháy và sự cố khác;</w:t>
      </w:r>
    </w:p>
    <w:p>
      <w:pPr>
        <w:pStyle w:val="ListBullet"/>
        <w:spacing w:line="276" w:lineRule="auto"/>
      </w:pPr>
      <w:r>
        <w:t>Tình trạng thời tiết;</w:t>
      </w:r>
    </w:p>
    <w:p>
      <w:pPr>
        <w:pStyle w:val="ListBullet"/>
        <w:spacing w:line="276" w:lineRule="auto"/>
      </w:pPr>
      <w:r>
        <w:t>Biện pháp xử lý đã thực hiện;</w:t>
      </w:r>
    </w:p>
    <w:p>
      <w:pPr>
        <w:pStyle w:val="ListBullet"/>
        <w:spacing w:line="276" w:lineRule="auto"/>
      </w:pPr>
      <w:r>
        <w:t>Thời gian và nội dung báo cáo Trung tâm;</w:t>
      </w:r>
    </w:p>
    <w:p>
      <w:pPr>
        <w:pStyle w:val="ListBullet"/>
        <w:spacing w:line="276" w:lineRule="auto"/>
      </w:pPr>
      <w:r>
        <w:t>Kết quả xử lý và tình trạng sau xử lý.</w:t>
      </w:r>
    </w:p>
    <w:p>
      <w:pPr>
        <w:pStyle w:val="Heading1"/>
        <w:spacing w:before="120" w:after="60"/>
      </w:pPr>
      <w:r>
        <w:t>VI. TẦN SUẤT TUẦN ĐƯỜNG</w:t>
      </w:r>
    </w:p>
    <w:p>
      <w:pPr>
        <w:spacing w:line="276" w:lineRule="auto"/>
        <w:ind w:firstLine="567"/>
      </w:pPr>
      <w:r>
        <w:rPr>
          <w:b w:val="0"/>
        </w:rPr>
        <w:t>Tần suất tuần đường thực hiện theo hợp đồng BDTX, phù hợp với quy định của Thông tư 41/2024/TT-BGTVT, TCCS 16:2016/TCĐBVN và điều kiện thực tế của tuyến; trường hợp điều kiện giao thông, thời tiết, sự cố hoặc yêu cầu khai thác phát sinh thì thực hiện tuần đường tăng cường theo yêu cầu của Trung tâm quản lý điều hành giao thông hoặc cơ quan quản lý có thẩm quyền.</w:t>
      </w:r>
    </w:p>
    <w:p>
      <w:pPr>
        <w:spacing w:line="276" w:lineRule="auto"/>
        <w:ind w:firstLine="567"/>
      </w:pPr>
      <w:r>
        <w:rPr>
          <w:b w:val="0"/>
        </w:rPr>
        <w:t>Theo TCCS 16:2016/TCĐBVN, tần suất tuần đường được xác định theo lưu lượng giao thông; bảng tần suất của tiêu chuẩn quy định số lượt/ngày tăng theo lưu lượng từ 3 lượt/ngày đối với lưu lượng dưới 20.000 xe/ngày đến 9 lượt/ngày đối với lưu lượng từ 100.000 xe/ngày trở lên. Khi áp dụng thực tế phải đối chiếu với hợp đồng và quy định hiện hành.</w:t>
      </w:r>
    </w:p>
    <w:p>
      <w:pPr>
        <w:pStyle w:val="Heading1"/>
        <w:spacing w:before="120" w:after="60"/>
      </w:pPr>
      <w:r>
        <w:t>VII. TRANG THIẾT BỊ PHỤC VỤ TUẦN ĐƯỜNG</w:t>
      </w:r>
    </w:p>
    <w:p>
      <w:pPr>
        <w:spacing w:line="276" w:lineRule="auto"/>
        <w:ind w:firstLine="567"/>
      </w:pPr>
      <w:r>
        <w:rPr>
          <w:b w:val="0"/>
        </w:rPr>
        <w:t>Xe tuần đường và nhân viên tuần đường phải được trang bị các phương tiện, thiết bị phù hợp với yêu cầu của TCCS 16:2016/TCĐBVN và hợp đồng, gồm các nhóm chính: xe tuần đường; biển báo và thiết bị cảnh báo; cờ, còi; dụng cụ lao động; dụng cụ xử lý sự cố; phương tiện liên lạc; máy ảnh/thiết bị ghi hình; áo phản quang và các vật tư cần thiết khác.</w:t>
      </w:r>
    </w:p>
    <w:p>
      <w:pPr>
        <w:pStyle w:val="Heading1"/>
        <w:spacing w:before="120" w:after="60"/>
      </w:pPr>
      <w:r>
        <w:t>VIII. NGUYÊN TẮC PHÂN ĐỊNH VỚI CÁC LỰC LƯỢNG KHÁC</w:t>
      </w:r>
    </w:p>
    <w:p>
      <w:pPr>
        <w:spacing w:line="276" w:lineRule="auto"/>
        <w:ind w:firstLine="567"/>
      </w:pPr>
      <w:r>
        <w:rPr>
          <w:b w:val="0"/>
        </w:rPr>
        <w:t>Tuần đường: lực lượng trực tiếp hiện trường, phát hiện, cảnh báo, báo cáo, xử lý ban đầu và phối hợp xử lý sự cố.</w:t>
      </w:r>
    </w:p>
    <w:p>
      <w:pPr>
        <w:spacing w:line="276" w:lineRule="auto"/>
        <w:ind w:firstLine="567"/>
      </w:pPr>
      <w:r>
        <w:rPr>
          <w:b w:val="0"/>
        </w:rPr>
        <w:t>Trung tâm quản lý điều hành giao thông: tiếp nhận, xác minh, điều hành thông tin, huy động/phối hợp lực lượng và theo dõi xử lý sự cố theo quy trình vận hành.</w:t>
      </w:r>
    </w:p>
    <w:p>
      <w:pPr>
        <w:spacing w:line="276" w:lineRule="auto"/>
        <w:ind w:firstLine="567"/>
      </w:pPr>
      <w:r>
        <w:rPr>
          <w:b w:val="0"/>
        </w:rPr>
        <w:t>Đơn vị BDTX: thực hiện các công việc bảo dưỡng, khắc phục hư hỏng thuộc phạm vi hợp đồng và thực hiện yêu cầu xử lý sau khi có thông tin từ tuần đường/Trung tâm.</w:t>
      </w:r>
    </w:p>
    <w:p>
      <w:pPr>
        <w:spacing w:line="276" w:lineRule="auto"/>
        <w:ind w:firstLine="567"/>
      </w:pPr>
      <w:r>
        <w:rPr>
          <w:b w:val="0"/>
        </w:rPr>
        <w:t>Tuần kiểm của cơ quan quản lý: hoạt động kiểm tra phục vụ quản lý, vận hành, khai thác và bảo trì; không thay thế nhiệm vụ tuần đường thường xuyên của đơn vị thực hiện BDTX.</w:t>
      </w:r>
    </w:p>
    <w:p>
      <w:pPr>
        <w:pStyle w:val="Heading1"/>
        <w:spacing w:before="120" w:after="60"/>
      </w:pPr>
      <w:r>
        <w:t>IX. QUY TRÌNH KHÉP KÍN ĐỐI VỚI MỘT PHÁT HIỆN/SỰ CỐ</w:t>
      </w:r>
    </w:p>
    <w:p>
      <w:pPr>
        <w:spacing w:line="276" w:lineRule="auto"/>
        <w:ind w:firstLine="567"/>
      </w:pPr>
      <w:r>
        <w:rPr>
          <w:b w:val="0"/>
        </w:rPr>
        <w:t>Phát hiện → ghi nhận vị trí, hiện trạng, hình ảnh → cảnh báo/bảo đảm ATGT ban đầu → báo cáo Trung tâm → tiếp nhận chỉ đạo/huy động lực lượng → xử lý hoặc phối hợp xử lý → theo dõi đến khi kết thúc → cập nhật nhật ký → bàn giao ca và lưu hồ sơ.</w:t>
      </w:r>
    </w:p>
    <w:p>
      <w:pPr>
        <w:pStyle w:val="Heading1"/>
        <w:spacing w:before="120" w:after="60"/>
      </w:pPr>
      <w:r>
        <w:t>X. CÁC CĂN CỨ CHÍNH</w:t>
      </w:r>
    </w:p>
    <w:p>
      <w:pPr>
        <w:spacing w:line="276" w:lineRule="auto"/>
        <w:ind w:firstLine="567"/>
      </w:pPr>
      <w:r>
        <w:rPr>
          <w:b w:val="0"/>
        </w:rPr>
        <w:t>Thông tư số 41/2024/TT-BGTVT: Điều 19 về tuần đường; Điều 20 về tuần kiểm; Phụ lục VIII về biểu mẫu, nội dung và chế độ phục vụ công tác tuần đường, tuần kiểm.</w:t>
      </w:r>
    </w:p>
    <w:p>
      <w:pPr>
        <w:spacing w:line="276" w:lineRule="auto"/>
        <w:ind w:firstLine="567"/>
      </w:pPr>
      <w:r>
        <w:rPr>
          <w:b w:val="0"/>
        </w:rPr>
        <w:t>TCCS 16:2016/TCĐBVN – Tiêu chuẩn quản lý và khai thác đường cao tốc – Tuần đường và xử lý sự cố trên đường cao tốc: Mục 4 về tuần đường trên đường cao tốc; Mục 5 về xử lý sự cố trên đường cao tốc; Phụ lục B về mẫu báo cáo, bàn giao.</w:t>
      </w:r>
    </w:p>
    <w:p>
      <w:pPr>
        <w:spacing w:line="276" w:lineRule="auto"/>
        <w:ind w:firstLine="567"/>
      </w:pPr>
      <w:r>
        <w:rPr>
          <w:b w:val="0"/>
        </w:rPr>
        <w:t>Thông tư số 72/2025/TT-BXD: các yêu cầu kỹ thuật, chất lượng và trách nhiệm thực hiện công tác quản lý, bảo vệ, bảo đảm trật tự an toàn giao thông, xử lý sự cố và kiểm tra, xử lý hư hỏng đối với đường cao tốc.</w:t>
      </w:r>
    </w:p>
    <w:p>
      <w:pPr>
        <w:spacing w:line="276" w:lineRule="auto"/>
        <w:ind w:firstLine="567"/>
      </w:pPr>
      <w:r>
        <w:rPr>
          <w:b/>
        </w:rPr>
        <w:t>Ghi chú: Nội dung trên được xây dựng trên cơ sở các tài liệu đã cung cấp; các yêu cầu về tần suất, nhân lực, trang thiết bị và thời gian xử lý cụ thể khi đưa vào hợp đồng phải được đối chiếu với hồ sơ tuyến, hợp đồng BDTX và quy định hiện hành.</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