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Noto Sans CJK SC" w:hAnsi="Noto Sans CJK SC" w:eastAsia="Noto Sans CJK SC"/>
          <w:b/>
          <w:color w:val="1B2D4A"/>
          <w:sz w:val="52"/>
        </w:rPr>
        <w:t>AI 股票双策略系统</w:t>
      </w:r>
    </w:p>
    <w:p>
      <w:pPr>
        <w:jc w:val="center"/>
      </w:pPr>
      <w:r>
        <w:rPr>
          <w:rFonts w:ascii="Noto Sans CJK SC" w:hAnsi="Noto Sans CJK SC" w:eastAsia="Noto Sans CJK SC"/>
          <w:b/>
          <w:color w:val="325C8A"/>
          <w:sz w:val="34"/>
        </w:rPr>
        <w:t>规划记录 v1.0</w:t>
      </w:r>
    </w:p>
    <w:p>
      <w:pPr>
        <w:spacing w:before="360"/>
        <w:jc w:val="center"/>
      </w:pPr>
      <w:r>
        <w:rPr>
          <w:rFonts w:ascii="Noto Sans CJK SC" w:hAnsi="Noto Sans CJK SC" w:eastAsia="Noto Sans CJK SC"/>
          <w:color w:val="555F6E"/>
          <w:sz w:val="24"/>
        </w:rPr>
        <w:t>价值线 + 情绪/交易线 · 开发前项目记录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EAF0F6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748"/>
                <w:sz w:val="20"/>
              </w:rPr>
              <w:t>记录日期</w:t>
            </w:r>
          </w:p>
        </w:tc>
        <w:tc>
          <w:tcPr>
            <w:tcW w:type="dxa" w:w="4929"/>
            <w:shd w:fill="F8FAF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20"/>
              </w:rPr>
              <w:t>2026-08-12</w:t>
            </w:r>
          </w:p>
        </w:tc>
      </w:tr>
      <w:tr>
        <w:tc>
          <w:tcPr>
            <w:tcW w:type="dxa" w:w="4929"/>
            <w:shd w:fill="EAF0F6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748"/>
                <w:sz w:val="20"/>
              </w:rPr>
              <w:t>当前阶段</w:t>
            </w:r>
          </w:p>
        </w:tc>
        <w:tc>
          <w:tcPr>
            <w:tcW w:type="dxa" w:w="4929"/>
            <w:shd w:fill="F8FAF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20"/>
              </w:rPr>
              <w:t>策略与架构梳理，暂不进入开发</w:t>
            </w:r>
          </w:p>
        </w:tc>
      </w:tr>
      <w:tr>
        <w:tc>
          <w:tcPr>
            <w:tcW w:type="dxa" w:w="4929"/>
            <w:shd w:fill="EAF0F6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748"/>
                <w:sz w:val="20"/>
              </w:rPr>
              <w:t>主底座</w:t>
            </w:r>
          </w:p>
        </w:tc>
        <w:tc>
          <w:tcPr>
            <w:tcW w:type="dxa" w:w="4929"/>
            <w:shd w:fill="F8FAF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20"/>
              </w:rPr>
              <w:t>HKUDS / Vibe-Trading</w:t>
            </w:r>
          </w:p>
        </w:tc>
      </w:tr>
      <w:tr>
        <w:tc>
          <w:tcPr>
            <w:tcW w:type="dxa" w:w="4929"/>
            <w:shd w:fill="EAF0F6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D3748"/>
                <w:sz w:val="20"/>
              </w:rPr>
              <w:t>目标市场</w:t>
            </w:r>
          </w:p>
        </w:tc>
        <w:tc>
          <w:tcPr>
            <w:tcW w:type="dxa" w:w="4929"/>
            <w:shd w:fill="F8FAF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20"/>
              </w:rPr>
              <w:t>A股 + 港股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EF4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C3F75"/>
                <w:sz w:val="21"/>
              </w:rPr>
              <w:t>本文件用途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color w:val="2D3748"/>
                <w:sz w:val="20"/>
              </w:rPr>
              <w:t>用于先冻结当前项目方向、策略边界和开源项目参考关系。后续进入开发阶段时，以此文档作为总需求记录，再逐步拆分为数据 SPEC、策略 SPEC、Agent SPEC、回测 SPEC 和前端 SPEC。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2"/>
        </w:rPr>
        <w:t>1. 项目重新定位</w:t>
      </w:r>
    </w:p>
    <w:p>
      <w:pPr>
        <w:spacing w:after="120" w:before="0" w:line="300" w:lineRule="auto"/>
      </w:pPr>
      <w:r>
        <w:rPr>
          <w:rFonts w:ascii="Noto Sans CJK SC" w:hAnsi="Noto Sans CJK SC" w:eastAsia="Noto Sans CJK SC"/>
          <w:b w:val="0"/>
          <w:color w:val="2D3748"/>
          <w:sz w:val="21"/>
        </w:rPr>
        <w:t>当前项目不再只定位为“价值投资股票分析助手”，而是一个同时服务两类投资逻辑的 AI 投研与策略平台。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AF5E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C3F75"/>
                <w:sz w:val="21"/>
              </w:rPr>
              <w:t>统一定位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color w:val="2D3748"/>
                <w:sz w:val="20"/>
              </w:rPr>
              <w:t>AI Investment Research &amp; Strategy Platform：统一数据底座之上，同时运行价值策略与情绪/交易策略；AI/Agent 负责理解、推理、讨论和解释，代码负责指标、因子、估值、评分、风控和回测。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2E5177"/>
          <w:sz w:val="26"/>
        </w:rPr>
        <w:t>1.1 两条业务主线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  <w:cantSplit w:val="true"/>
        </w:trPr>
        <w:tc>
          <w:tcPr>
            <w:tcW w:type="dxa" w:w="1814"/>
            <w:shd w:fill="DCE6F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D3D"/>
                <w:sz w:val="18"/>
              </w:rPr>
              <w:t>策略线</w:t>
            </w:r>
          </w:p>
        </w:tc>
        <w:tc>
          <w:tcPr>
            <w:tcW w:type="dxa" w:w="3515"/>
            <w:shd w:fill="DCE6F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D3D"/>
                <w:sz w:val="18"/>
              </w:rPr>
              <w:t>核心目标</w:t>
            </w:r>
          </w:p>
        </w:tc>
        <w:tc>
          <w:tcPr>
            <w:tcW w:type="dxa" w:w="2098"/>
            <w:shd w:fill="DCE6F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D3D"/>
                <w:sz w:val="18"/>
              </w:rPr>
              <w:t>典型持有周期</w:t>
            </w:r>
          </w:p>
        </w:tc>
        <w:tc>
          <w:tcPr>
            <w:tcW w:type="dxa" w:w="3288"/>
            <w:shd w:fill="DCE6F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D3D"/>
                <w:sz w:val="18"/>
              </w:rPr>
              <w:t>主要决策依据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价值线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从宏观与产业出发，选细分赛道和龙头；深研公司后给出合理入场区域</w:t>
            </w:r>
          </w:p>
        </w:tc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中长期为主</w:t>
            </w:r>
          </w:p>
        </w:tc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宏观、产业、公司质量、财务、护城河、估值、长期风险、入场时机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情绪/交易线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从市场情绪、资金、新闻、量价、板块强度等寻找短线/波段机会</w:t>
            </w:r>
          </w:p>
        </w:tc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短线 1-5 日；波段约 5-60 日</w:t>
            </w:r>
          </w:p>
        </w:tc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市场宽度、涨跌停、成交、资金、新闻事件、趋势、技术、基本面过滤、风险收益比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2E5177"/>
          <w:sz w:val="26"/>
        </w:rPr>
        <w:t>1.2 两条线共享，但不混用策略逻辑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color w:val="2D3748"/>
          <w:sz w:val="21"/>
        </w:rPr>
        <w:t>共享统一证券代码、行情、财务、公告、新闻、研报、宏观、行业、资金等基础数据。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color w:val="2D3748"/>
          <w:sz w:val="21"/>
        </w:rPr>
        <w:t>共享 Agent Runtime、Tool/MCP、Factor/Quant、Backtest、Risk、Strategy Versioning 和模拟盘基础设施。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color w:val="2D3748"/>
          <w:sz w:val="21"/>
        </w:rPr>
        <w:t>价值线与情绪线分别维护自己的评分体系、信号定义、回测评价指标和 Agent 工作流。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color w:val="2D3748"/>
          <w:sz w:val="21"/>
        </w:rPr>
        <w:t>同一只股票可以同时出现在两条线，但“为什么买、持有多久、何时卖”的逻辑必须分别记录。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2"/>
        </w:rPr>
        <w:t>2. 价值线：Top-down → 龙头 → 深度研究 → 入场</w:t>
      </w:r>
    </w:p>
    <w:p>
      <w:pPr>
        <w:spacing w:after="120" w:before="0" w:line="300" w:lineRule="auto"/>
      </w:pPr>
      <w:r>
        <w:rPr>
          <w:rFonts w:ascii="Noto Sans CJK SC" w:hAnsi="Noto Sans CJK SC" w:eastAsia="Noto Sans CJK SC"/>
          <w:b w:val="0"/>
          <w:color w:val="2D3748"/>
          <w:sz w:val="21"/>
        </w:rPr>
        <w:t>价值线的核心不是“先输入一只股票再问 AI 好不好”，而是从宏观环境逐层缩小投资范围。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5177"/>
          <w:sz w:val="26"/>
        </w:rPr>
        <w:t>2.1 目标流程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color w:val="2D3748"/>
          <w:sz w:val="21"/>
        </w:rPr>
        <w:t>Macro Regime：识别增长、通胀、利率、流动性、信用、政策、商品和风险状态。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color w:val="2D3748"/>
          <w:sz w:val="21"/>
        </w:rPr>
        <w:t>Sector / Theme Selection：把宏观与政策变化映射到行业、细分赛道与产业链环节。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color w:val="2D3748"/>
          <w:sz w:val="21"/>
        </w:rPr>
        <w:t>Leader Screening：在细分赛道全部 A/H 股公司中筛选真正的行业龙头与次龙头。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color w:val="2D3748"/>
          <w:sz w:val="21"/>
        </w:rPr>
        <w:t>Deep Research：分析商业模式、竞争格局、护城河、管理层、财务质量、成长、现金流和风险。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color w:val="2D3748"/>
          <w:sz w:val="21"/>
        </w:rPr>
        <w:t>Valuation：用 DCF、可比公司、历史估值、FCF Yield 等形成合理价值区间。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color w:val="2D3748"/>
          <w:sz w:val="21"/>
        </w:rPr>
        <w:t>Investment Committee：Bull / Bear / Risk / CIO 等 Agent 对共同事实底稿进行讨论、质疑和修正。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color w:val="2D3748"/>
          <w:sz w:val="21"/>
        </w:rPr>
        <w:t>Entry Timing：价值满足安全边际后，再结合市场/行业/技术状态寻找实际入场区域，而不是只给“好公司”结论。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5177"/>
          <w:sz w:val="26"/>
        </w:rPr>
        <w:t>2.2 价值线需要重点自研的能力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 w:val="true"/>
        </w:trPr>
        <w:tc>
          <w:tcPr>
            <w:tcW w:type="dxa" w:w="2381"/>
            <w:shd w:fill="DCE6F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D3D"/>
                <w:sz w:val="18"/>
              </w:rPr>
              <w:t>模块</w:t>
            </w:r>
          </w:p>
        </w:tc>
        <w:tc>
          <w:tcPr>
            <w:tcW w:type="dxa" w:w="3798"/>
            <w:shd w:fill="DCE6F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D3D"/>
                <w:sz w:val="18"/>
              </w:rPr>
              <w:t>核心问题</w:t>
            </w:r>
          </w:p>
        </w:tc>
        <w:tc>
          <w:tcPr>
            <w:tcW w:type="dxa" w:w="4082"/>
            <w:shd w:fill="DCE6F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D3D"/>
                <w:sz w:val="18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Macro → Sector Engine</w:t>
            </w:r>
          </w:p>
        </w:tc>
        <w:tc>
          <w:tcPr>
            <w:tcW w:type="dxa" w:w="37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当前宏观环境和政策，具体利好/利空哪些细分赛道？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不能只让 LLM 主观判断，需要结构化指标 + 行业暴露映射。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Leader Selection Engine</w:t>
            </w:r>
          </w:p>
        </w:tc>
        <w:tc>
          <w:tcPr>
            <w:tcW w:type="dxa" w:w="37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一个细分行业里谁才是真正龙头？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结合市场份额、行业地位、ROIC/ROE、规模、盈利增长、FCF、竞争优势等。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Value Research Model</w:t>
            </w:r>
          </w:p>
        </w:tc>
        <w:tc>
          <w:tcPr>
            <w:tcW w:type="dxa" w:w="37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龙头是否值得长期持有？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确定性财务计算 + Agent 定性研究。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Valuation / Entry Engine</w:t>
            </w:r>
          </w:p>
        </w:tc>
        <w:tc>
          <w:tcPr>
            <w:tcW w:type="dxa" w:w="37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公司值多少钱、什么价格有安全边际、何时入场？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估值区间与市场时机分开处理，最后求交集。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2E5177"/>
          <w:sz w:val="26"/>
        </w:rPr>
        <w:t>2.3 价值线的原则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color w:val="2D3748"/>
          <w:sz w:val="21"/>
        </w:rPr>
        <w:t>“好公司”和“好价格”分开判断：Company Agent 负责公司质量，Valuation Agent 负责价格是否合理。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color w:val="2D3748"/>
          <w:sz w:val="21"/>
        </w:rPr>
        <w:t>所有财务指标、估值、收益率、风险数值必须由代码计算，AI 不直接编造数字。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color w:val="2D3748"/>
          <w:sz w:val="21"/>
        </w:rPr>
        <w:t>行业与公司结论必须能回溯到财报、公告、研报、宏观数据或行情数据。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color w:val="2D3748"/>
          <w:sz w:val="21"/>
        </w:rPr>
        <w:t>入场点不是单一技术指标，而是“公司质量 + 估值安全边际 + 行业/市场状态 + 风险收益比”的联合结果。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2"/>
        </w:rPr>
        <w:t>3. 情绪/交易线：情绪短线 + 波段</w:t>
      </w:r>
    </w:p>
    <w:p>
      <w:pPr>
        <w:spacing w:after="120" w:before="0" w:line="300" w:lineRule="auto"/>
      </w:pPr>
      <w:r>
        <w:rPr>
          <w:rFonts w:ascii="Noto Sans CJK SC" w:hAnsi="Noto Sans CJK SC" w:eastAsia="Noto Sans CJK SC"/>
          <w:b w:val="0"/>
          <w:color w:val="2D3748"/>
          <w:sz w:val="21"/>
        </w:rPr>
        <w:t>情绪线更准确的名称是“交易线”。短线强调市场情绪和资金，波段则提高趋势、板块、基本面和估值等中周期信息的权重。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5177"/>
          <w:sz w:val="26"/>
        </w:rPr>
        <w:t>3.1 短线情绪策略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 w:val="true"/>
        </w:trPr>
        <w:tc>
          <w:tcPr>
            <w:tcW w:type="dxa" w:w="1984"/>
            <w:shd w:fill="DCE6F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D3D"/>
                <w:sz w:val="18"/>
              </w:rPr>
              <w:t>信息层</w:t>
            </w:r>
          </w:p>
        </w:tc>
        <w:tc>
          <w:tcPr>
            <w:tcW w:type="dxa" w:w="8277"/>
            <w:shd w:fill="DCE6F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D3D"/>
                <w:sz w:val="18"/>
              </w:rPr>
              <w:t>候选数据/特征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市场宽度</w:t>
            </w:r>
          </w:p>
        </w:tc>
        <w:tc>
          <w:tcPr>
            <w:tcW w:type="dxa" w:w="827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上涨/下跌家数、涨停/跌停家数、炸板率、连板高度、昨日涨停溢价、新高/新低、成交额变化等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资金</w:t>
            </w:r>
          </w:p>
        </w:tc>
        <w:tc>
          <w:tcPr>
            <w:tcW w:type="dxa" w:w="827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主力资金、龙虎榜、北向/互联互通、融资融券、大宗交易、板块资金、个股资金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量价/成交</w:t>
            </w:r>
          </w:p>
        </w:tc>
        <w:tc>
          <w:tcPr>
            <w:tcW w:type="dxa" w:w="827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成交量、成交额、换手率、量比、振幅、相对强度、突破、波动率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板块/龙头</w:t>
            </w:r>
          </w:p>
        </w:tc>
        <w:tc>
          <w:tcPr>
            <w:tcW w:type="dxa" w:w="827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板块热度、板块扩散、龙头强度、跟风强度、板块持续性、行业/概念联动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新闻/事件</w:t>
            </w:r>
          </w:p>
        </w:tc>
        <w:tc>
          <w:tcPr>
            <w:tcW w:type="dxa" w:w="827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政策、公告、业绩、突发事件、媒体新闻、社交讨论、金融文本情绪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技术/风险</w:t>
            </w:r>
          </w:p>
        </w:tc>
        <w:tc>
          <w:tcPr>
            <w:tcW w:type="dxa" w:w="827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趋势、均线、RSI、MACD、ATR、支撑阻力、风险收益比、最大允许回撤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基本面过滤</w:t>
            </w:r>
          </w:p>
        </w:tc>
        <w:tc>
          <w:tcPr>
            <w:tcW w:type="dxa" w:w="827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避免明显财务风险、退市/ST、高负债或基本面重大恶化等风险标的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2E5177"/>
          <w:sz w:val="26"/>
        </w:rPr>
        <w:t>3.2 波段策略</w:t>
      </w:r>
    </w:p>
    <w:p>
      <w:pPr>
        <w:spacing w:after="120" w:before="0" w:line="300" w:lineRule="auto"/>
      </w:pPr>
      <w:r>
        <w:rPr>
          <w:rFonts w:ascii="Noto Sans CJK SC" w:hAnsi="Noto Sans CJK SC" w:eastAsia="Noto Sans CJK SC"/>
          <w:b w:val="0"/>
          <w:color w:val="2D3748"/>
          <w:sz w:val="21"/>
        </w:rPr>
        <w:t>波段不单独拆第三条业务线，而作为交易线的第二种策略模式。与短线相比，降低日内/极短情绪权重，提高趋势、行业景气、资金持续性、基本面和估值权重。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 w:val="true"/>
        </w:trPr>
        <w:tc>
          <w:tcPr>
            <w:tcW w:type="dxa" w:w="2835"/>
            <w:shd w:fill="DCE6F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D3D"/>
                <w:sz w:val="18"/>
              </w:rPr>
              <w:t>维度</w:t>
            </w:r>
          </w:p>
        </w:tc>
        <w:tc>
          <w:tcPr>
            <w:tcW w:type="dxa" w:w="3685"/>
            <w:shd w:fill="DCE6F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D3D"/>
                <w:sz w:val="18"/>
              </w:rPr>
              <w:t>短线情绪模式</w:t>
            </w:r>
          </w:p>
        </w:tc>
        <w:tc>
          <w:tcPr>
            <w:tcW w:type="dxa" w:w="3685"/>
            <w:shd w:fill="DCE6F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D3D"/>
                <w:sz w:val="18"/>
              </w:rPr>
              <w:t>波段模式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市场情绪</w:t>
            </w:r>
          </w:p>
        </w:tc>
        <w:tc>
          <w:tcPr>
            <w:tcW w:type="dxa" w:w="36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高</w:t>
            </w:r>
          </w:p>
        </w:tc>
        <w:tc>
          <w:tcPr>
            <w:tcW w:type="dxa" w:w="36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中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资金/成交</w:t>
            </w:r>
          </w:p>
        </w:tc>
        <w:tc>
          <w:tcPr>
            <w:tcW w:type="dxa" w:w="36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高</w:t>
            </w:r>
          </w:p>
        </w:tc>
        <w:tc>
          <w:tcPr>
            <w:tcW w:type="dxa" w:w="36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高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新闻事件</w:t>
            </w:r>
          </w:p>
        </w:tc>
        <w:tc>
          <w:tcPr>
            <w:tcW w:type="dxa" w:w="36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高</w:t>
            </w:r>
          </w:p>
        </w:tc>
        <w:tc>
          <w:tcPr>
            <w:tcW w:type="dxa" w:w="36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中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板块强度</w:t>
            </w:r>
          </w:p>
        </w:tc>
        <w:tc>
          <w:tcPr>
            <w:tcW w:type="dxa" w:w="36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高</w:t>
            </w:r>
          </w:p>
        </w:tc>
        <w:tc>
          <w:tcPr>
            <w:tcW w:type="dxa" w:w="36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高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趋势/技术</w:t>
            </w:r>
          </w:p>
        </w:tc>
        <w:tc>
          <w:tcPr>
            <w:tcW w:type="dxa" w:w="36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中</w:t>
            </w:r>
          </w:p>
        </w:tc>
        <w:tc>
          <w:tcPr>
            <w:tcW w:type="dxa" w:w="36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高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基本面</w:t>
            </w:r>
          </w:p>
        </w:tc>
        <w:tc>
          <w:tcPr>
            <w:tcW w:type="dxa" w:w="36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低-中（风险过滤）</w:t>
            </w:r>
          </w:p>
        </w:tc>
        <w:tc>
          <w:tcPr>
            <w:tcW w:type="dxa" w:w="36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中-高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估值</w:t>
            </w:r>
          </w:p>
        </w:tc>
        <w:tc>
          <w:tcPr>
            <w:tcW w:type="dxa" w:w="36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低</w:t>
            </w:r>
          </w:p>
        </w:tc>
        <w:tc>
          <w:tcPr>
            <w:tcW w:type="dxa" w:w="36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中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典型持有期</w:t>
            </w:r>
          </w:p>
        </w:tc>
        <w:tc>
          <w:tcPr>
            <w:tcW w:type="dxa" w:w="36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1-5 个交易日</w:t>
            </w:r>
          </w:p>
        </w:tc>
        <w:tc>
          <w:tcPr>
            <w:tcW w:type="dxa" w:w="36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约 5-60 个交易日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2E5177"/>
          <w:sz w:val="26"/>
        </w:rPr>
        <w:t>3.3 情绪线真正的核心：Emotion / Trading Score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FF4E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C3F75"/>
                <w:sz w:val="21"/>
              </w:rPr>
              <w:t>核心原则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color w:val="2D3748"/>
                <w:sz w:val="20"/>
              </w:rPr>
              <w:t>不要让大模型直接“感觉今天情绪很好”。先由确定性公式和因子计算 Emotion Score / Trading Score，再由 Agent 解释状态、识别事件和处理难以量化的信息。</w:t>
            </w:r>
          </w:p>
        </w:tc>
      </w:tr>
    </w:tbl>
    <w:p>
      <w:pPr>
        <w:spacing w:after="0"/>
      </w:pPr>
    </w:p>
    <w:p>
      <w:pPr>
        <w:spacing w:after="120" w:before="0" w:line="300" w:lineRule="auto"/>
      </w:pPr>
      <w:r>
        <w:rPr>
          <w:rFonts w:ascii="Noto Sans CJK SC" w:hAnsi="Noto Sans CJK SC" w:eastAsia="Noto Sans CJK SC"/>
          <w:b w:val="0"/>
          <w:color w:val="2D3748"/>
          <w:sz w:val="21"/>
        </w:rPr>
        <w:t>第一版可以采用人工设计的分层评分；后续用因子检验、样本外验证和机器学习逐步替换拍脑袋权重。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2"/>
        </w:rPr>
        <w:t>4. 公共 Strategy Research Lab</w:t>
      </w:r>
    </w:p>
    <w:p>
      <w:pPr>
        <w:spacing w:after="120" w:before="0" w:line="300" w:lineRule="auto"/>
      </w:pPr>
      <w:r>
        <w:rPr>
          <w:rFonts w:ascii="Noto Sans CJK SC" w:hAnsi="Noto Sans CJK SC" w:eastAsia="Noto Sans CJK SC"/>
          <w:b w:val="0"/>
          <w:color w:val="2D3748"/>
          <w:sz w:val="21"/>
        </w:rPr>
        <w:t>虽然业务上只有两条策略线，但技术上需要一个两条线共用的策略研究实验室。它负责把“想法”变成“可复现、可验证的规则”。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 w:val="true"/>
        </w:trPr>
        <w:tc>
          <w:tcPr>
            <w:tcW w:type="dxa" w:w="2438"/>
            <w:shd w:fill="DCE6F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D3D"/>
                <w:sz w:val="18"/>
              </w:rPr>
              <w:t>能力</w:t>
            </w:r>
          </w:p>
        </w:tc>
        <w:tc>
          <w:tcPr>
            <w:tcW w:type="dxa" w:w="7824"/>
            <w:shd w:fill="DCE6F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D3D"/>
                <w:sz w:val="18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Factor Zoo</w:t>
            </w:r>
          </w:p>
        </w:tc>
        <w:tc>
          <w:tcPr>
            <w:tcW w:type="dxa" w:w="7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统一管理 Alpha101、GTJA191、Qlib Alpha158、学术因子、自研因子及后续从研报提取的因子。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Factor Validation</w:t>
            </w:r>
          </w:p>
        </w:tc>
        <w:tc>
          <w:tcPr>
            <w:tcW w:type="dxa" w:w="7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IC/Rank IC、分层收益、稳定性、换手率、风险、不同市场状态表现等。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Backtest</w:t>
            </w:r>
          </w:p>
        </w:tc>
        <w:tc>
          <w:tcPr>
            <w:tcW w:type="dxa" w:w="7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价值线 Leader/Entry 规则和情绪线 Emotion/Trading 规则都必须能历史验证。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OOS / Walk-forward</w:t>
            </w:r>
          </w:p>
        </w:tc>
        <w:tc>
          <w:tcPr>
            <w:tcW w:type="dxa" w:w="7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避免过拟合；策略必须通过样本外和滚动验证。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Strategy Versioning</w:t>
            </w:r>
          </w:p>
        </w:tc>
        <w:tc>
          <w:tcPr>
            <w:tcW w:type="dxa" w:w="7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记录策略版本、参数、数据版本、因子版本、Agent/Prompt/模型版本。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Paper Trading</w:t>
            </w:r>
          </w:p>
        </w:tc>
        <w:tc>
          <w:tcPr>
            <w:tcW w:type="dxa" w:w="7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历史回测之后进入模拟盘，用实时数据验证真实信号、撮合、滑点和执行问题。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2E5177"/>
          <w:sz w:val="26"/>
        </w:rPr>
        <w:t>4.1 对“私募公式”的处理原则</w:t>
      </w:r>
    </w:p>
    <w:p>
      <w:pPr>
        <w:spacing w:after="120" w:before="0" w:line="300" w:lineRule="auto"/>
      </w:pPr>
      <w:r>
        <w:rPr>
          <w:rFonts w:ascii="Noto Sans CJK SC" w:hAnsi="Noto Sans CJK SC" w:eastAsia="Noto Sans CJK SC"/>
          <w:b w:val="0"/>
          <w:color w:val="2D3748"/>
          <w:sz w:val="21"/>
        </w:rPr>
        <w:t>不把目标设成寻找某家优秀私募的“完整秘密公式”。真正有持续竞争力的内部策略通常不会完整公开。更现实的做法是收集公开券商因子、论文因子、学术因子和公开基金经理框架，然后在自己的 A/H 股数据上重新验证。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color w:val="2D3748"/>
          <w:sz w:val="21"/>
        </w:rPr>
        <w:t>GTJA191（国泰君安短周期因子）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color w:val="2D3748"/>
          <w:sz w:val="21"/>
        </w:rPr>
        <w:t>WorldQuant / Formulaic Alpha101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color w:val="2D3748"/>
          <w:sz w:val="21"/>
        </w:rPr>
        <w:t>Qlib Alpha158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color w:val="2D3748"/>
          <w:sz w:val="21"/>
        </w:rPr>
        <w:t>Fama-French / Momentum / Quality / Low Vol 等学术因子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color w:val="2D3748"/>
          <w:sz w:val="21"/>
        </w:rPr>
        <w:t>券商公开研报中的行业、资金、情绪和微观结构因子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color w:val="2D3748"/>
          <w:sz w:val="21"/>
        </w:rPr>
        <w:t>后续由 AI/RD-Agent 提议的新因子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2"/>
        </w:rPr>
        <w:t>5. Vibe-Trading 的项目定位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AF5E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C3F75"/>
                <w:sz w:val="21"/>
              </w:rPr>
              <w:t>当前结论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color w:val="2D3748"/>
                <w:sz w:val="20"/>
              </w:rPr>
              <w:t>继续选择 Vibe-Trading 作为主底座。它不负责定义我们的两套策略，而负责承载 Agent、工具调用、金融计算、因子研究、回测、风险、运行记录和后续交易/模拟能力。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 w:val="true"/>
        </w:trPr>
        <w:tc>
          <w:tcPr>
            <w:tcW w:type="dxa" w:w="2891"/>
            <w:shd w:fill="DCE6F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D3D"/>
                <w:sz w:val="18"/>
              </w:rPr>
              <w:t>Vibe-Trading 现有能力</w:t>
            </w:r>
          </w:p>
        </w:tc>
        <w:tc>
          <w:tcPr>
            <w:tcW w:type="dxa" w:w="7370"/>
            <w:shd w:fill="DCE6F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D3D"/>
                <w:sz w:val="18"/>
              </w:rPr>
              <w:t>对本项目的意义</w:t>
            </w:r>
          </w:p>
        </w:tc>
      </w:tr>
      <w:tr>
        <w:trPr>
          <w:cantSplit w:val="true"/>
        </w:trPr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Swarm / Multi-Agent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作为价值投资委员会、宏观/行业研究团队、情绪/交易研究团队的运行基础。</w:t>
            </w:r>
          </w:p>
        </w:tc>
      </w:tr>
      <w:tr>
        <w:trPr>
          <w:cantSplit w:val="true"/>
        </w:trPr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MCP / Tool Registry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统一把行情、宏观、财务、资金、新闻、技术指标、筛选器提供给 Agent。</w:t>
            </w:r>
          </w:p>
        </w:tc>
      </w:tr>
      <w:tr>
        <w:trPr>
          <w:cantSplit w:val="true"/>
        </w:trPr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QuantLib / Valuation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支持确定性金融计算、DCF/Comps、风险指标等，避免 LLM 直接计算关键数值。</w:t>
            </w:r>
          </w:p>
        </w:tc>
      </w:tr>
      <w:tr>
        <w:trPr>
          <w:cantSplit w:val="true"/>
        </w:trPr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Alpha Zoo / Factor Analysis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直接用于情绪线和波段线的公开因子研究与筛选。</w:t>
            </w:r>
          </w:p>
        </w:tc>
      </w:tr>
      <w:tr>
        <w:trPr>
          <w:cantSplit w:val="true"/>
        </w:trPr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Backtest / Validation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作为两条策略线的共同验证基础。</w:t>
            </w:r>
          </w:p>
        </w:tc>
      </w:tr>
      <w:tr>
        <w:trPr>
          <w:cantSplit w:val="true"/>
        </w:trPr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Hypothesis / Research Autopilot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后续可用于“提出假设 → 生成信号 → 回测 → 更新结论”的研究闭环。</w:t>
            </w:r>
          </w:p>
        </w:tc>
      </w:tr>
      <w:tr>
        <w:trPr>
          <w:cantSplit w:val="true"/>
        </w:trPr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Shadow / Trading Connectors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后续可用于交易复盘、规则抽取和模拟/实盘连接的参考。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2E5177"/>
          <w:sz w:val="26"/>
        </w:rPr>
        <w:t>5.1 Vibe-Trading 不能替我们解决的四个核心 IP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color w:val="2D3748"/>
          <w:sz w:val="21"/>
        </w:rPr>
        <w:t>Macro → Sector Engine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color w:val="2D3748"/>
          <w:sz w:val="21"/>
        </w:rPr>
        <w:t>Leader Selection Engine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color w:val="2D3748"/>
          <w:sz w:val="21"/>
        </w:rPr>
        <w:t>A股 Emotion / Trading Score Engine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color w:val="2D3748"/>
          <w:sz w:val="21"/>
        </w:rPr>
        <w:t>Entry Timing Engine（分别服务价值线与交易线）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2"/>
        </w:rPr>
        <w:t>6. 开源项目参考地图</w:t>
      </w:r>
    </w:p>
    <w:p>
      <w:pPr>
        <w:spacing w:after="120" w:before="0" w:line="300" w:lineRule="auto"/>
      </w:pPr>
      <w:r>
        <w:rPr>
          <w:rFonts w:ascii="Noto Sans CJK SC" w:hAnsi="Noto Sans CJK SC" w:eastAsia="Noto Sans CJK SC"/>
          <w:b w:val="0"/>
          <w:color w:val="2D3748"/>
          <w:sz w:val="21"/>
        </w:rPr>
        <w:t>原则：只保留一个主底座，其他项目按模块学习或能力级移植，避免项目级合并。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5177"/>
          <w:sz w:val="26"/>
        </w:rPr>
        <w:t>6.1 价值线参考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  <w:cantSplit w:val="true"/>
        </w:trPr>
        <w:tc>
          <w:tcPr>
            <w:tcW w:type="dxa" w:w="1928"/>
            <w:shd w:fill="DCE6F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D3D"/>
                <w:sz w:val="17"/>
              </w:rPr>
              <w:t>项目</w:t>
            </w:r>
          </w:p>
        </w:tc>
        <w:tc>
          <w:tcPr>
            <w:tcW w:type="dxa" w:w="2154"/>
            <w:shd w:fill="DCE6F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D3D"/>
                <w:sz w:val="17"/>
              </w:rPr>
              <w:t>定位</w:t>
            </w:r>
          </w:p>
        </w:tc>
        <w:tc>
          <w:tcPr>
            <w:tcW w:type="dxa" w:w="4139"/>
            <w:shd w:fill="DCE6F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D3D"/>
                <w:sz w:val="17"/>
              </w:rPr>
              <w:t>重点参考</w:t>
            </w:r>
          </w:p>
        </w:tc>
        <w:tc>
          <w:tcPr>
            <w:tcW w:type="dxa" w:w="2551"/>
            <w:shd w:fill="DCE6F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D3D"/>
                <w:sz w:val="17"/>
              </w:rPr>
              <w:t>处理方式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FinRobot</w:t>
            </w:r>
          </w:p>
        </w:tc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个股价值深研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确定性估值计算、研究流水线、Bull/Bear/Judge、证据与数值溯源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S+：重点研究设计和可复用计算模块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DojoAgents</w:t>
            </w:r>
          </w:p>
        </w:tc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Top-down 产品结构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Market → Sector L1/L2/L3 → Equity 的信息架构和 UI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S：重点参考产品结构/UI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TradingAgents</w:t>
            </w:r>
          </w:p>
        </w:tc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多 Agent 决策讨论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Analyst → Bull/Bear → Risk → Portfolio Manager 的讨论分层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S：参考工作流，不做第二底座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DeepEar</w:t>
            </w:r>
          </w:p>
        </w:tc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投资逻辑演化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事件/新闻 → 逻辑链，Evidence 与 Logic Evolution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A：后期做 Thesis/Evidence 时参考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Vibe-Research</w:t>
            </w:r>
          </w:p>
        </w:tc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研究工作台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公司页、研报/研究记录、轻量投研 Dashboard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A：前端和研究组织参考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2E5177"/>
          <w:sz w:val="26"/>
        </w:rPr>
        <w:t>6.2 情绪/交易线参考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  <w:cantSplit w:val="true"/>
        </w:trPr>
        <w:tc>
          <w:tcPr>
            <w:tcW w:type="dxa" w:w="1928"/>
            <w:shd w:fill="DCE6F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D3D"/>
                <w:sz w:val="17"/>
              </w:rPr>
              <w:t>项目</w:t>
            </w:r>
          </w:p>
        </w:tc>
        <w:tc>
          <w:tcPr>
            <w:tcW w:type="dxa" w:w="2098"/>
            <w:shd w:fill="DCE6F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D3D"/>
                <w:sz w:val="17"/>
              </w:rPr>
              <w:t>定位</w:t>
            </w:r>
          </w:p>
        </w:tc>
        <w:tc>
          <w:tcPr>
            <w:tcW w:type="dxa" w:w="4365"/>
            <w:shd w:fill="DCE6F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D3D"/>
                <w:sz w:val="17"/>
              </w:rPr>
              <w:t>重点参考</w:t>
            </w:r>
          </w:p>
        </w:tc>
        <w:tc>
          <w:tcPr>
            <w:tcW w:type="dxa" w:w="2381"/>
            <w:shd w:fill="DCE6F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D3D"/>
                <w:sz w:val="17"/>
              </w:rPr>
              <w:t>处理方式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Microsoft Qlib</w:t>
            </w:r>
          </w:p>
        </w:tc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量化研究平台</w:t>
            </w:r>
          </w:p>
        </w:tc>
        <w:tc>
          <w:tcPr>
            <w:tcW w:type="dxa" w:w="43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Factor/Dataset/Model/Rank/Backtest/OOS/Portfolio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S+：Factor Research Lab 核心参考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Microsoft RD-Agent(Q)</w:t>
            </w:r>
          </w:p>
        </w:tc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AI 自动量化研发</w:t>
            </w:r>
          </w:p>
        </w:tc>
        <w:tc>
          <w:tcPr>
            <w:tcW w:type="dxa" w:w="43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Agent 自动提出、实现、验证因子并联合优化模型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S+：第二阶段引入，第一版不急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TideTrading</w:t>
            </w:r>
          </w:p>
        </w:tc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中国市场增强</w:t>
            </w:r>
          </w:p>
        </w:tc>
        <w:tc>
          <w:tcPr>
            <w:tcW w:type="dxa" w:w="43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通达信/mootdx、资金、雪球舆情、共享行情缓存、A股工程化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S：能力级参考/移植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FinGPT</w:t>
            </w:r>
          </w:p>
        </w:tc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金融文本情绪</w:t>
            </w:r>
          </w:p>
        </w:tc>
        <w:tc>
          <w:tcPr>
            <w:tcW w:type="dxa" w:w="43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新闻、标题、社交文本的金融情绪识别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A+：作为 NLP 情绪支线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Hikyuu</w:t>
            </w:r>
          </w:p>
        </w:tc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交易系统结构</w:t>
            </w:r>
          </w:p>
        </w:tc>
        <w:tc>
          <w:tcPr>
            <w:tcW w:type="dxa" w:w="43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Signal、Money Management、Stop、Portfolio、Selector 等传统策略组件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A：参考策略工程化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VeighNa / vn.py</w:t>
            </w:r>
          </w:p>
        </w:tc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量化交易与仿真</w:t>
            </w:r>
          </w:p>
        </w:tc>
        <w:tc>
          <w:tcPr>
            <w:tcW w:type="dxa" w:w="43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策略、回测、组合、paper account、后续实盘接口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A：模拟盘阶段重点研究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RQAlpha</w:t>
            </w:r>
          </w:p>
        </w:tc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A股回测/仿真参考</w:t>
            </w:r>
          </w:p>
        </w:tc>
        <w:tc>
          <w:tcPr>
            <w:tcW w:type="dxa" w:w="43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撮合、交易成本、风险、Mod 架构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仅学习：README 声明商业使用需联系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2"/>
        </w:rPr>
        <w:t>7. Agent / AI 在系统中的职责边界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 w:val="true"/>
        </w:trPr>
        <w:tc>
          <w:tcPr>
            <w:tcW w:type="dxa" w:w="5102"/>
            <w:shd w:fill="DCE6F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D3D"/>
                <w:sz w:val="18"/>
              </w:rPr>
              <w:t>适合 Agent / AI</w:t>
            </w:r>
          </w:p>
        </w:tc>
        <w:tc>
          <w:tcPr>
            <w:tcW w:type="dxa" w:w="5102"/>
            <w:shd w:fill="DCE6F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D3D"/>
                <w:sz w:val="18"/>
              </w:rPr>
              <w:t>适合代码/模型</w:t>
            </w:r>
          </w:p>
        </w:tc>
      </w:tr>
      <w:tr>
        <w:trPr>
          <w:cantSplit w:val="true"/>
        </w:trPr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宏观和政策含义解释；产业链逻辑；护城河/管理层判断；新闻事件影响；多空辩论；提出研究假设；解释异常数据；生成研究结论和问题清单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财务指标；DCF/Comps；行业/股票评分；资金/量价指标；Emotion Score；Alpha 因子；技术指标；风险指标；回测；样本外验证；仓位/止损规则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EF4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C3F75"/>
                <w:sz w:val="21"/>
              </w:rPr>
              <w:t>一句话原则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color w:val="2D3748"/>
                <w:sz w:val="20"/>
              </w:rPr>
              <w:t>AI 负责“理解与推理”，代码负责“计算与验证”；关键数字不由 LLM 自由生成。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2E5177"/>
          <w:sz w:val="26"/>
        </w:rPr>
        <w:t>7.1 两条线的 Agent 组合可以不同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 w:val="true"/>
        </w:trPr>
        <w:tc>
          <w:tcPr>
            <w:tcW w:type="dxa" w:w="5102"/>
            <w:shd w:fill="DCE6F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D3D"/>
                <w:sz w:val="18"/>
              </w:rPr>
              <w:t>价值线 Agent</w:t>
            </w:r>
          </w:p>
        </w:tc>
        <w:tc>
          <w:tcPr>
            <w:tcW w:type="dxa" w:w="5102"/>
            <w:shd w:fill="DCE6F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D3D"/>
                <w:sz w:val="18"/>
              </w:rPr>
              <w:t>情绪/交易线 Agent</w:t>
            </w:r>
          </w:p>
        </w:tc>
      </w:tr>
      <w:tr>
        <w:trPr>
          <w:cantSplit w:val="true"/>
        </w:trPr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Macro Strategist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Market Emotion Analyst</w:t>
            </w:r>
          </w:p>
        </w:tc>
      </w:tr>
      <w:tr>
        <w:trPr>
          <w:cantSplit w:val="true"/>
        </w:trPr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Sector/Industry Analyst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Capital Flow Analyst</w:t>
            </w:r>
          </w:p>
        </w:tc>
      </w:tr>
      <w:tr>
        <w:trPr>
          <w:cantSplit w:val="true"/>
        </w:trPr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Company/Fundamental Analyst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News/Event Analyst</w:t>
            </w:r>
          </w:p>
        </w:tc>
      </w:tr>
      <w:tr>
        <w:trPr>
          <w:cantSplit w:val="true"/>
        </w:trPr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Financial Analyst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Sector Momentum Analyst</w:t>
            </w:r>
          </w:p>
        </w:tc>
      </w:tr>
      <w:tr>
        <w:trPr>
          <w:cantSplit w:val="true"/>
        </w:trPr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Valuation Analyst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Technical/Momentum Analyst</w:t>
            </w:r>
          </w:p>
        </w:tc>
      </w:tr>
      <w:tr>
        <w:trPr>
          <w:cantSplit w:val="true"/>
        </w:trPr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Moat / Management Analyst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Fundamental Risk Filter</w:t>
            </w:r>
          </w:p>
        </w:tc>
      </w:tr>
      <w:tr>
        <w:trPr>
          <w:cantSplit w:val="true"/>
        </w:trPr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Bull / Bear / Risk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Bull / Bear / Risk</w:t>
            </w:r>
          </w:p>
        </w:tc>
      </w:tr>
      <w:tr>
        <w:trPr>
          <w:cantSplit w:val="true"/>
        </w:trPr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CIO / Moderator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Trader / Portfolio/Risk Manager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2"/>
        </w:rPr>
        <w:t>8. 数据层方向</w:t>
      </w:r>
    </w:p>
    <w:p>
      <w:pPr>
        <w:spacing w:after="120" w:before="0" w:line="300" w:lineRule="auto"/>
      </w:pPr>
      <w:r>
        <w:rPr>
          <w:rFonts w:ascii="Noto Sans CJK SC" w:hAnsi="Noto Sans CJK SC" w:eastAsia="Noto Sans CJK SC"/>
          <w:b w:val="0"/>
          <w:color w:val="2D3748"/>
          <w:sz w:val="21"/>
        </w:rPr>
        <w:t>两条线最终能否可靠，数据层比 Agent 数量更重要。当前只记录数据类别与优先方向，不在本文件确定具体供应商合同或接口。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 w:val="true"/>
        </w:trPr>
        <w:tc>
          <w:tcPr>
            <w:tcW w:type="dxa" w:w="2381"/>
            <w:shd w:fill="DCE6F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D3D"/>
                <w:sz w:val="18"/>
              </w:rPr>
              <w:t>数据域</w:t>
            </w:r>
          </w:p>
        </w:tc>
        <w:tc>
          <w:tcPr>
            <w:tcW w:type="dxa" w:w="7880"/>
            <w:shd w:fill="DCE6F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D3D"/>
                <w:sz w:val="18"/>
              </w:rPr>
              <w:t>候选/方向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A股/港股行情</w:t>
            </w:r>
          </w:p>
        </w:tc>
        <w:tc>
          <w:tcPr>
            <w:tcW w:type="dxa" w:w="7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通达信/TdxQuant、mootdx、本地通达信数据、Tushare、Futu/其他合法接口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财务/估值</w:t>
            </w:r>
          </w:p>
        </w:tc>
        <w:tc>
          <w:tcPr>
            <w:tcW w:type="dxa" w:w="7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通达信/TdxQuant、Tushare、交易所/公司披露等；要求 PIT 与数据时间戳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宏观</w:t>
            </w:r>
          </w:p>
        </w:tc>
        <w:tc>
          <w:tcPr>
            <w:tcW w:type="dxa" w:w="7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中国官方宏观源 + 全球官方宏观源（如 FRED 等）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行业/主题</w:t>
            </w:r>
          </w:p>
        </w:tc>
        <w:tc>
          <w:tcPr>
            <w:tcW w:type="dxa" w:w="7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申万行业层级、细分产业链映射、概念/主题数据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资金/市场微观</w:t>
            </w:r>
          </w:p>
        </w:tc>
        <w:tc>
          <w:tcPr>
            <w:tcW w:type="dxa" w:w="7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资金流、龙虎榜、融资融券、互联互通、大宗、成交、涨跌停、市场宽度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新闻/公告/研报</w:t>
            </w:r>
          </w:p>
        </w:tc>
        <w:tc>
          <w:tcPr>
            <w:tcW w:type="dxa" w:w="7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交易所公告、公司公告、正规新闻源、研报库；社交数据仅作为辅助信号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文本情绪</w:t>
            </w:r>
          </w:p>
        </w:tc>
        <w:tc>
          <w:tcPr>
            <w:tcW w:type="dxa" w:w="7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8"/>
              </w:rPr>
              <w:t>FinGPT/通用模型 + 自己的中文金融标注/验证集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2"/>
        </w:rPr>
        <w:t>9. 验证路线</w:t>
      </w:r>
    </w:p>
    <w:p>
      <w:pPr>
        <w:spacing w:after="120" w:before="0" w:line="300" w:lineRule="auto"/>
      </w:pPr>
      <w:r>
        <w:rPr>
          <w:rFonts w:ascii="Noto Sans CJK SC" w:hAnsi="Noto Sans CJK SC" w:eastAsia="Noto Sans CJK SC"/>
          <w:b w:val="0"/>
          <w:color w:val="2D3748"/>
          <w:sz w:val="21"/>
        </w:rPr>
        <w:t>系统最终不是以“AI说得有道理”为验收标准，而是以策略是否在历史、样本外和模拟盘中稳定为依据。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color w:val="2D3748"/>
          <w:sz w:val="21"/>
        </w:rPr>
        <w:t>规则可解释：先明确因子、输入、输出、持有周期和失效条件。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color w:val="2D3748"/>
          <w:sz w:val="21"/>
        </w:rPr>
        <w:t>历史回测：加入真实交易成本、停牌、涨跌停、复权、财务披露时点等约束。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color w:val="2D3748"/>
          <w:sz w:val="21"/>
        </w:rPr>
        <w:t>严格样本外：训练/调参期与验证期隔离，避免把历史答案背下来。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color w:val="2D3748"/>
          <w:sz w:val="21"/>
        </w:rPr>
        <w:t>Walk-forward / Regime：观察策略在牛市、熊市、震荡、流动性变化等不同环境中的表现。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color w:val="2D3748"/>
          <w:sz w:val="21"/>
        </w:rPr>
        <w:t>模拟盘：使用实时数据产生真实信号，但不下真实资金；记录信号、成交假设、滑点、持仓、退出和回撤。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color w:val="2D3748"/>
          <w:sz w:val="21"/>
        </w:rPr>
        <w:t>策略版本迭代：只有通过预设验收门槛的新版本才能替换旧版本。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2"/>
        </w:rPr>
        <w:t>10. 后续开发顺序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 w:val="true"/>
        </w:trPr>
        <w:tc>
          <w:tcPr>
            <w:tcW w:type="dxa" w:w="2268"/>
            <w:shd w:fill="DCE6F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D3D"/>
                <w:sz w:val="17"/>
              </w:rPr>
              <w:t>阶段</w:t>
            </w:r>
          </w:p>
        </w:tc>
        <w:tc>
          <w:tcPr>
            <w:tcW w:type="dxa" w:w="4706"/>
            <w:shd w:fill="DCE6F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D3D"/>
                <w:sz w:val="17"/>
              </w:rPr>
              <w:t>重点</w:t>
            </w:r>
          </w:p>
        </w:tc>
        <w:tc>
          <w:tcPr>
            <w:tcW w:type="dxa" w:w="3288"/>
            <w:shd w:fill="DCE6F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D3D"/>
                <w:sz w:val="17"/>
              </w:rPr>
              <w:t>暂不做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Phase A：底座确认</w:t>
            </w:r>
          </w:p>
        </w:tc>
        <w:tc>
          <w:tcPr>
            <w:tcW w:type="dxa" w:w="4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跑通并冻结 Vibe-Trading；梳理已有能力；确定统一数据/证券 ID/Tool 边界</w:t>
            </w:r>
          </w:p>
        </w:tc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先不做复杂 Agent 群聊和自动策略研发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Phase B：价值线 MVP</w:t>
            </w:r>
          </w:p>
        </w:tc>
        <w:tc>
          <w:tcPr>
            <w:tcW w:type="dxa" w:w="4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Macro→Sector、Leader Screener、公司深研、估值、基础 Value Committee、Entry Zone</w:t>
            </w:r>
          </w:p>
        </w:tc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不做自动实盘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Phase C：情绪线 MVP</w:t>
            </w:r>
          </w:p>
        </w:tc>
        <w:tc>
          <w:tcPr>
            <w:tcW w:type="dxa" w:w="4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A股情绪指标、资金/量价/新闻、Factor Zoo、短线/波段候选筛选、Entry/Exit</w:t>
            </w:r>
          </w:p>
        </w:tc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先用人工设计的评分体系，不急于 ML 自动权重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Phase D：统一 Strategy Lab</w:t>
            </w:r>
          </w:p>
        </w:tc>
        <w:tc>
          <w:tcPr>
            <w:tcW w:type="dxa" w:w="4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因子检验、严格 OOS、策略版本、组合回测、风险报表</w:t>
            </w:r>
          </w:p>
        </w:tc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不追求一次性覆盖所有因子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Phase E：模拟盘</w:t>
            </w:r>
          </w:p>
        </w:tc>
        <w:tc>
          <w:tcPr>
            <w:tcW w:type="dxa" w:w="4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接实时数据、Paper Account、订单/成交/持仓/风控/复盘</w:t>
            </w:r>
          </w:p>
        </w:tc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实盘资金仍后置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Phase F：AI 自动研发</w:t>
            </w:r>
          </w:p>
        </w:tc>
        <w:tc>
          <w:tcPr>
            <w:tcW w:type="dxa" w:w="4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引入 RD-Agent(Q) 式假设/因子/模型自动迭代</w:t>
            </w:r>
          </w:p>
        </w:tc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必须建立在前面验证体系成熟之后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2"/>
        </w:rPr>
        <w:t>11. 当前冻结的关键决策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color w:val="2D3748"/>
          <w:sz w:val="21"/>
        </w:rPr>
        <w:t>业务上明确两条线：价值线；情绪/交易线（含短线情绪与波段）。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color w:val="2D3748"/>
          <w:sz w:val="21"/>
        </w:rPr>
        <w:t>主底座继续使用 Vibe-Trading，不再以 Vibe-Research 作为核心主仓库。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color w:val="2D3748"/>
          <w:sz w:val="21"/>
        </w:rPr>
        <w:t>其他开源项目只做模块参考或能力级移植，不进行多项目“大合并”。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color w:val="2D3748"/>
          <w:sz w:val="21"/>
        </w:rPr>
        <w:t>策略核心不是 Prompt，而是可定义、可计算、可回测、可版本化的 Strategy Engine。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color w:val="2D3748"/>
          <w:sz w:val="21"/>
        </w:rPr>
        <w:t>价值线重点自研 Macro→Sector、Leader、Valuation/Entry；情绪线重点自研 Emotion/Trading Score。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color w:val="2D3748"/>
          <w:sz w:val="21"/>
        </w:rPr>
        <w:t>AI/Agent 不承担关键数值计算，所有关键数字必须有数据来源与确定性计算路径。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color w:val="2D3748"/>
          <w:sz w:val="21"/>
        </w:rPr>
        <w:t>开发后必须进入回测 → 样本外验证 → 模拟盘，不能只停留在研究报告。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2"/>
        </w:rPr>
        <w:t>12. 重点开源项目清单（后续逐个研究）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 w:val="true"/>
        </w:trPr>
        <w:tc>
          <w:tcPr>
            <w:tcW w:type="dxa" w:w="1871"/>
            <w:shd w:fill="DCE6F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D3D"/>
                <w:sz w:val="17"/>
              </w:rPr>
              <w:t>项目</w:t>
            </w:r>
          </w:p>
        </w:tc>
        <w:tc>
          <w:tcPr>
            <w:tcW w:type="dxa" w:w="3231"/>
            <w:shd w:fill="DCE6F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D3D"/>
                <w:sz w:val="17"/>
              </w:rPr>
              <w:t>仓库</w:t>
            </w:r>
          </w:p>
        </w:tc>
        <w:tc>
          <w:tcPr>
            <w:tcW w:type="dxa" w:w="5159"/>
            <w:shd w:fill="DCE6F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D3D"/>
                <w:sz w:val="17"/>
              </w:rPr>
              <w:t>后续研究主题</w:t>
            </w:r>
          </w:p>
        </w:tc>
      </w:tr>
      <w:tr>
        <w:trPr>
          <w:cantSplit w:val="true"/>
        </w:trP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Vibe-Trading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HKUDS/Vibe-Trading</w:t>
            </w:r>
          </w:p>
        </w:tc>
        <w:tc>
          <w:tcPr>
            <w:tcW w:type="dxa" w:w="51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主底座：Agent、MCP、QuantLib、Alpha、Backtest、Risk、Research Autopilot</w:t>
            </w:r>
          </w:p>
        </w:tc>
      </w:tr>
      <w:tr>
        <w:trPr>
          <w:cantSplit w:val="true"/>
        </w:trP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TideTrading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skloxo/TideTrading</w:t>
            </w:r>
          </w:p>
        </w:tc>
        <w:tc>
          <w:tcPr>
            <w:tcW w:type="dxa" w:w="51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A股/港股数据、TDX/mootdx、资金、雪球、Shared Data Hub</w:t>
            </w:r>
          </w:p>
        </w:tc>
      </w:tr>
      <w:tr>
        <w:trPr>
          <w:cantSplit w:val="true"/>
        </w:trP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TradingAgents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TauricResearch/TradingAgents</w:t>
            </w:r>
          </w:p>
        </w:tc>
        <w:tc>
          <w:tcPr>
            <w:tcW w:type="dxa" w:w="51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多 Agent 分析/辩论/风险/PM 工作流</w:t>
            </w:r>
          </w:p>
        </w:tc>
      </w:tr>
      <w:tr>
        <w:trPr>
          <w:cantSplit w:val="true"/>
        </w:trP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DojoAgents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Alpha-Dojo/DojoAgents</w:t>
            </w:r>
          </w:p>
        </w:tc>
        <w:tc>
          <w:tcPr>
            <w:tcW w:type="dxa" w:w="51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市场→行业→股票结构、Sector L1/L2/L3 与 UI</w:t>
            </w:r>
          </w:p>
        </w:tc>
      </w:tr>
      <w:tr>
        <w:trPr>
          <w:cantSplit w:val="true"/>
        </w:trP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FinRobot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AI4Finance-Foundation/FinRobot</w:t>
            </w:r>
          </w:p>
        </w:tc>
        <w:tc>
          <w:tcPr>
            <w:tcW w:type="dxa" w:w="51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价值深研、估值、确定性计算、Bull/Bear/Judge</w:t>
            </w:r>
          </w:p>
        </w:tc>
      </w:tr>
      <w:tr>
        <w:trPr>
          <w:cantSplit w:val="true"/>
        </w:trP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Qlib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microsoft/qlib</w:t>
            </w:r>
          </w:p>
        </w:tc>
        <w:tc>
          <w:tcPr>
            <w:tcW w:type="dxa" w:w="51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因子、ML、排名、回测、PIT、OOS、组合</w:t>
            </w:r>
          </w:p>
        </w:tc>
      </w:tr>
      <w:tr>
        <w:trPr>
          <w:cantSplit w:val="true"/>
        </w:trP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RD-Agent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microsoft/RD-Agent</w:t>
            </w:r>
          </w:p>
        </w:tc>
        <w:tc>
          <w:tcPr>
            <w:tcW w:type="dxa" w:w="51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后期 AI 自动因子/模型研发</w:t>
            </w:r>
          </w:p>
        </w:tc>
      </w:tr>
      <w:tr>
        <w:trPr>
          <w:cantSplit w:val="true"/>
        </w:trP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FinGPT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AI4Finance-Foundation/FinGPT</w:t>
            </w:r>
          </w:p>
        </w:tc>
        <w:tc>
          <w:tcPr>
            <w:tcW w:type="dxa" w:w="51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金融新闻/文本情绪</w:t>
            </w:r>
          </w:p>
        </w:tc>
      </w:tr>
      <w:tr>
        <w:trPr>
          <w:cantSplit w:val="true"/>
        </w:trP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Hikyuu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fasiondog/hikyuu</w:t>
            </w:r>
          </w:p>
        </w:tc>
        <w:tc>
          <w:tcPr>
            <w:tcW w:type="dxa" w:w="51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交易系统组件化和 A股策略工程化</w:t>
            </w:r>
          </w:p>
        </w:tc>
      </w:tr>
      <w:tr>
        <w:trPr>
          <w:cantSplit w:val="true"/>
        </w:trP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VeighNa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vnpy/vnpy</w:t>
            </w:r>
          </w:p>
        </w:tc>
        <w:tc>
          <w:tcPr>
            <w:tcW w:type="dxa" w:w="51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748"/>
                <w:sz w:val="17"/>
              </w:rPr>
              <w:t>后续模拟盘、策略执行、交易接口</w:t>
            </w:r>
          </w:p>
        </w:tc>
      </w:tr>
    </w:tbl>
    <w:p>
      <w:pPr>
        <w:spacing w:after="20"/>
      </w:pPr>
    </w:p>
    <w:p>
      <w:pPr>
        <w:spacing w:before="320"/>
        <w:jc w:val="center"/>
      </w:pPr>
      <w:r>
        <w:rPr>
          <w:rFonts w:ascii="Noto Sans CJK SC" w:hAnsi="Noto Sans CJK SC" w:eastAsia="Noto Sans CJK SC"/>
          <w:color w:val="646E78"/>
          <w:sz w:val="19"/>
        </w:rPr>
        <w:t>—— 本文档为方向冻结记录，后续开发 SPEC 在此基础上拆分 ——</w:t>
      </w:r>
    </w:p>
    <w:sectPr w:rsidR="00FC693F" w:rsidRPr="0006063C" w:rsidSect="00034616">
      <w:footerReference w:type="default" r:id="rId9"/>
      <w:pgSz w:w="12240" w:h="15840"/>
      <w:pgMar w:top="1077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D828A"/>
        <w:sz w:val="16"/>
      </w:rPr>
      <w:t>AI 股票双策略系统 · 规划记录 v1.0 · 2026-08-12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517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D4E6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B2D4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股票双策略系统规划记录 v1.0</dc:title>
  <dc:subject>价值线与情绪/交易线项目规划记录</dc:subject>
  <dc:creator/>
  <cp:keywords>Vibe-Trading, 价值投资, 情绪交易, A股, 港股, Multi-Agent, Quant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